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61D33" w14:textId="146BC268" w:rsidR="00E66F08" w:rsidRPr="00B033BF" w:rsidRDefault="00B033BF" w:rsidP="002177F0">
      <w:pPr>
        <w:pStyle w:val="Title"/>
      </w:pPr>
      <w:r w:rsidRPr="00B033BF">
        <w:t>Mayo Clinic Talks: Eating Disorders Edition</w:t>
      </w:r>
    </w:p>
    <w:p w14:paraId="14FAF217" w14:textId="77777777" w:rsidR="00E66F08" w:rsidRPr="00B033BF" w:rsidRDefault="00E66F08" w:rsidP="00864DB5"/>
    <w:p w14:paraId="7A26178C" w14:textId="77777777" w:rsidR="00A92449" w:rsidRPr="00B033BF" w:rsidRDefault="00A92449" w:rsidP="00864DB5">
      <w:pPr>
        <w:pStyle w:val="Heading1"/>
      </w:pPr>
      <w:r w:rsidRPr="00B033BF">
        <w:t>Activity Description</w:t>
      </w:r>
    </w:p>
    <w:p w14:paraId="2EA6D6ED" w14:textId="48057DB5" w:rsidR="00A92449" w:rsidRPr="00B033BF" w:rsidRDefault="00B033BF" w:rsidP="00864DB5">
      <w:r w:rsidRPr="00B033BF">
        <w:t xml:space="preserve">This is an initial offering of an online CME course for primary care clinicians consisting of seven Mayo Clinic Talks podcast episodes focusing on the background, medical management, and principles of treatment of </w:t>
      </w:r>
      <w:r w:rsidR="00FE1749" w:rsidRPr="00FE1749">
        <w:t xml:space="preserve">child and adolescent </w:t>
      </w:r>
      <w:r w:rsidRPr="00B033BF">
        <w:t xml:space="preserve">eating disorders.  </w:t>
      </w:r>
    </w:p>
    <w:p w14:paraId="49DD5D5E" w14:textId="77777777" w:rsidR="00B033BF" w:rsidRPr="00B033BF" w:rsidRDefault="00B033BF" w:rsidP="00864DB5"/>
    <w:p w14:paraId="63F45BDC" w14:textId="77777777" w:rsidR="00864DB5" w:rsidRPr="00B033BF" w:rsidRDefault="00A92449" w:rsidP="00864DB5">
      <w:pPr>
        <w:pStyle w:val="Heading1"/>
      </w:pPr>
      <w:r w:rsidRPr="00B033BF">
        <w:t>Target Audience</w:t>
      </w:r>
    </w:p>
    <w:p w14:paraId="51901784" w14:textId="487100A4" w:rsidR="00A92449" w:rsidRPr="0074699E" w:rsidRDefault="00A92449" w:rsidP="00864DB5">
      <w:r w:rsidRPr="00B033BF">
        <w:t>This activity is appropriate for</w:t>
      </w:r>
      <w:r w:rsidR="00B033BF" w:rsidRPr="00B033BF">
        <w:t xml:space="preserve"> primary care</w:t>
      </w:r>
      <w:r w:rsidR="00B033BF">
        <w:t xml:space="preserve"> physicians, physician assistants and nurse practitioners.</w:t>
      </w:r>
    </w:p>
    <w:p w14:paraId="1FE2FF7E" w14:textId="77777777" w:rsidR="00A92449" w:rsidRPr="0074699E" w:rsidRDefault="00A92449" w:rsidP="00864DB5"/>
    <w:p w14:paraId="7D9D06A5" w14:textId="4C53AA74" w:rsidR="00864DB5" w:rsidRPr="0074699E" w:rsidRDefault="00A92449" w:rsidP="008C1421">
      <w:pPr>
        <w:pStyle w:val="Heading1"/>
        <w:rPr>
          <w:color w:val="FF0000"/>
        </w:rPr>
      </w:pPr>
      <w:r w:rsidRPr="0074699E">
        <w:t>Learning Objectives</w:t>
      </w:r>
    </w:p>
    <w:p w14:paraId="627044C3" w14:textId="12A27632" w:rsidR="00A92449" w:rsidRPr="0074699E" w:rsidRDefault="005C44C7" w:rsidP="00864DB5">
      <w:pPr>
        <w:rPr>
          <w:u w:val="single"/>
        </w:rPr>
      </w:pPr>
      <w:r w:rsidRPr="0074699E">
        <w:t>Upon conclusion of this activity, participants should be able to:</w:t>
      </w:r>
    </w:p>
    <w:p w14:paraId="4BBE7EF5" w14:textId="77777777" w:rsidR="00FE1749" w:rsidRPr="00FE1749" w:rsidRDefault="00FE1749" w:rsidP="00BD1A83">
      <w:pPr>
        <w:pStyle w:val="ListParagraph"/>
        <w:numPr>
          <w:ilvl w:val="0"/>
          <w:numId w:val="2"/>
        </w:numPr>
      </w:pPr>
      <w:r w:rsidRPr="00FE1749">
        <w:rPr>
          <w:shd w:val="clear" w:color="auto" w:fill="FFFFFF"/>
        </w:rPr>
        <w:t xml:space="preserve">Identify the various presentations of child and adolescent eating disorders relevant to the primary care provider, including those symptom profiles </w:t>
      </w:r>
      <w:proofErr w:type="gramStart"/>
      <w:r w:rsidRPr="00FE1749">
        <w:rPr>
          <w:shd w:val="clear" w:color="auto" w:fill="FFFFFF"/>
        </w:rPr>
        <w:t>most commonly missed</w:t>
      </w:r>
      <w:proofErr w:type="gramEnd"/>
      <w:r w:rsidRPr="00FE1749">
        <w:rPr>
          <w:shd w:val="clear" w:color="auto" w:fill="FFFFFF"/>
        </w:rPr>
        <w:t xml:space="preserve"> or misdiagnosed. </w:t>
      </w:r>
    </w:p>
    <w:p w14:paraId="4BADB49D" w14:textId="77777777" w:rsidR="00FE1749" w:rsidRPr="00FE1749" w:rsidRDefault="00FE1749" w:rsidP="00BD1A83">
      <w:pPr>
        <w:pStyle w:val="ListParagraph"/>
        <w:numPr>
          <w:ilvl w:val="0"/>
          <w:numId w:val="2"/>
        </w:numPr>
      </w:pPr>
      <w:r w:rsidRPr="00FE1749">
        <w:rPr>
          <w:shd w:val="clear" w:color="auto" w:fill="FFFFFF"/>
        </w:rPr>
        <w:t>Describe appropriate medical management for child and adolescent primary care patients with eating disorder symptoms.</w:t>
      </w:r>
    </w:p>
    <w:p w14:paraId="0AE03195" w14:textId="4BC2EAB1" w:rsidR="00BD1A83" w:rsidRPr="00CF1B1F" w:rsidRDefault="0029020A" w:rsidP="00BD1A83">
      <w:pPr>
        <w:pStyle w:val="ListParagraph"/>
        <w:numPr>
          <w:ilvl w:val="0"/>
          <w:numId w:val="2"/>
        </w:numPr>
      </w:pPr>
      <w:r>
        <w:rPr>
          <w:shd w:val="clear" w:color="auto" w:fill="FFFFFF"/>
        </w:rPr>
        <w:t>Discuss</w:t>
      </w:r>
      <w:r w:rsidR="00FE1749" w:rsidRPr="00FE1749">
        <w:rPr>
          <w:shd w:val="clear" w:color="auto" w:fill="FFFFFF"/>
        </w:rPr>
        <w:t xml:space="preserve"> recommendations and advice for management of child and adolescent eating disorder symptoms for patients and families.</w:t>
      </w:r>
      <w:r w:rsidR="00BD1A83" w:rsidRPr="00CF1B1F">
        <w:rPr>
          <w:shd w:val="clear" w:color="auto" w:fill="FFFFFF"/>
        </w:rPr>
        <w:t> </w:t>
      </w:r>
    </w:p>
    <w:p w14:paraId="6606FD9F" w14:textId="77777777" w:rsidR="007D4ECB" w:rsidRPr="0074699E" w:rsidRDefault="007D4ECB" w:rsidP="007D4ECB">
      <w:pPr>
        <w:rPr>
          <w:highlight w:val="yellow"/>
        </w:rPr>
      </w:pPr>
    </w:p>
    <w:p w14:paraId="4680EF17" w14:textId="77777777" w:rsidR="00864DB5" w:rsidRPr="0074699E" w:rsidRDefault="005C44C7" w:rsidP="00864DB5">
      <w:pPr>
        <w:rPr>
          <w:highlight w:val="yellow"/>
        </w:rPr>
      </w:pPr>
      <w:r w:rsidRPr="0074699E">
        <w:rPr>
          <w:shd w:val="clear" w:color="auto" w:fill="FFFFFF"/>
        </w:rPr>
        <w:t>Attendance at this Mayo Clinic course does not indicate nor guarantee competence or proficiency in the performance of any procedures which may be discussed or taught in this course.</w:t>
      </w:r>
    </w:p>
    <w:p w14:paraId="389A6B77" w14:textId="77777777" w:rsidR="00864DB5" w:rsidRPr="0074699E" w:rsidRDefault="00864DB5" w:rsidP="00864DB5">
      <w:pPr>
        <w:rPr>
          <w:rStyle w:val="Heading1Char"/>
        </w:rPr>
      </w:pPr>
    </w:p>
    <w:p w14:paraId="1EC4ADC8" w14:textId="40BEF823" w:rsidR="00526842" w:rsidRPr="0074699E" w:rsidRDefault="00E66F08" w:rsidP="008C1421">
      <w:pPr>
        <w:pStyle w:val="Heading1"/>
        <w:rPr>
          <w:highlight w:val="cyan"/>
        </w:rPr>
      </w:pPr>
      <w:r w:rsidRPr="0074699E">
        <w:t>Accreditation Statement</w:t>
      </w:r>
    </w:p>
    <w:p w14:paraId="773BD88C" w14:textId="77777777" w:rsidR="00864DB5" w:rsidRPr="0074699E" w:rsidRDefault="00864DB5" w:rsidP="00864DB5">
      <w:pPr>
        <w:rPr>
          <w:highlight w:val="yellow"/>
        </w:rPr>
      </w:pPr>
    </w:p>
    <w:p w14:paraId="7A4BA007" w14:textId="77777777" w:rsidR="00FE1608" w:rsidRPr="0074699E" w:rsidRDefault="00AB71E0" w:rsidP="00864DB5">
      <w:r w:rsidRPr="0074699E">
        <w:rPr>
          <w:noProof/>
        </w:rPr>
        <w:drawing>
          <wp:anchor distT="0" distB="0" distL="114300" distR="114300" simplePos="0" relativeHeight="251659264" behindDoc="0" locked="0" layoutInCell="1" allowOverlap="1" wp14:anchorId="25057D86" wp14:editId="5EAD4383">
            <wp:simplePos x="0" y="0"/>
            <wp:positionH relativeFrom="column">
              <wp:posOffset>0</wp:posOffset>
            </wp:positionH>
            <wp:positionV relativeFrom="paragraph">
              <wp:posOffset>0</wp:posOffset>
            </wp:positionV>
            <wp:extent cx="869950" cy="647065"/>
            <wp:effectExtent l="0" t="0" r="0" b="0"/>
            <wp:wrapSquare wrapText="bothSides"/>
            <wp:docPr id="2" name="Pictur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9950" cy="647065"/>
                    </a:xfrm>
                    <a:prstGeom prst="rect">
                      <a:avLst/>
                    </a:prstGeom>
                    <a:noFill/>
                    <a:ln>
                      <a:noFill/>
                    </a:ln>
                  </pic:spPr>
                </pic:pic>
              </a:graphicData>
            </a:graphic>
            <wp14:sizeRelH relativeFrom="page">
              <wp14:pctWidth>0</wp14:pctWidth>
            </wp14:sizeRelH>
            <wp14:sizeRelV relativeFrom="page">
              <wp14:pctHeight>0</wp14:pctHeight>
            </wp14:sizeRelV>
          </wp:anchor>
        </w:drawing>
      </w:r>
      <w:r w:rsidR="00FE1608" w:rsidRPr="0074699E">
        <w:t xml:space="preserve">In support of improving patient care, Mayo Clinic College of Medicine and Science is </w:t>
      </w:r>
      <w:r w:rsidR="00812C60" w:rsidRPr="0074699E">
        <w:t xml:space="preserve">jointly </w:t>
      </w:r>
      <w:r w:rsidR="00FE1608" w:rsidRPr="0074699E">
        <w:t>accredited by the Accreditation Council for Continuing Medical Education (ACCME), the Accreditation Council for Pharmacy Education (ACPE), and the American Nurses Credentialing Center (ANCC) to provide continuing education for the healthcare team.</w:t>
      </w:r>
    </w:p>
    <w:p w14:paraId="42472C98" w14:textId="77777777" w:rsidR="00526842" w:rsidRPr="0074699E" w:rsidRDefault="00526842" w:rsidP="00864DB5"/>
    <w:p w14:paraId="5CC2F789" w14:textId="794221F1" w:rsidR="009D4ED2" w:rsidRPr="0074699E" w:rsidRDefault="00F2677D" w:rsidP="00B34542">
      <w:pPr>
        <w:pStyle w:val="Heading1"/>
      </w:pPr>
      <w:r w:rsidRPr="0074699E">
        <w:t xml:space="preserve">Credit </w:t>
      </w:r>
      <w:r w:rsidR="00526842" w:rsidRPr="0074699E">
        <w:t>Statement</w:t>
      </w:r>
      <w:r w:rsidR="00812C60" w:rsidRPr="0074699E">
        <w:t>(s)</w:t>
      </w:r>
    </w:p>
    <w:p w14:paraId="651BB48B" w14:textId="38A184D5" w:rsidR="00BD1A83" w:rsidRPr="00BD1A83" w:rsidRDefault="00BD1A83" w:rsidP="00BD1A83">
      <w:r w:rsidRPr="00BD1A83">
        <w:t xml:space="preserve">Mayo Clinic College of Medicine and Science designates this enduring material for a maximum of </w:t>
      </w:r>
      <w:r w:rsidR="00FE1749">
        <w:t>3.0</w:t>
      </w:r>
      <w:r w:rsidR="00BB6A67">
        <w:t>0</w:t>
      </w:r>
      <w:r w:rsidRPr="00BD1A83">
        <w:t xml:space="preserve"> </w:t>
      </w:r>
      <w:r w:rsidRPr="00BD1A83">
        <w:rPr>
          <w:i/>
          <w:iCs/>
        </w:rPr>
        <w:t>AMA PRA Category 1 Credits</w:t>
      </w:r>
      <w:r w:rsidRPr="00BD1A83">
        <w:t>™. Physicians should claim only the credit commensurate with the extent of their participation in the activity.</w:t>
      </w:r>
    </w:p>
    <w:p w14:paraId="78980429" w14:textId="77777777" w:rsidR="0051170A" w:rsidRPr="0074699E" w:rsidRDefault="0051170A" w:rsidP="00864DB5"/>
    <w:p w14:paraId="19C92764" w14:textId="791D0279" w:rsidR="00864DB5" w:rsidRPr="0074699E" w:rsidRDefault="00E96124" w:rsidP="008C1421">
      <w:pPr>
        <w:pStyle w:val="Heading1"/>
      </w:pPr>
      <w:r w:rsidRPr="0074699E">
        <w:t xml:space="preserve">Disclosure </w:t>
      </w:r>
      <w:r w:rsidR="0051170A" w:rsidRPr="0074699E">
        <w:t>Summary</w:t>
      </w:r>
    </w:p>
    <w:p w14:paraId="3BC4CA96" w14:textId="77777777" w:rsidR="00BB15E2" w:rsidRPr="00F75F8D" w:rsidRDefault="00BB15E2" w:rsidP="00BB15E2">
      <w:pPr>
        <w:rPr>
          <w:rFonts w:cs="Times New Roman"/>
        </w:rPr>
      </w:pPr>
      <w:r w:rsidRPr="00101F52">
        <w:rPr>
          <w:rFonts w:cs="Times New Roman"/>
        </w:rPr>
        <w:t xml:space="preserve">As a provider accredited by Joint Accreditation </w:t>
      </w:r>
      <w:r>
        <w:rPr>
          <w:rFonts w:cs="Times New Roman"/>
        </w:rPr>
        <w:t xml:space="preserve">for </w:t>
      </w:r>
      <w:r w:rsidRPr="00101F52">
        <w:rPr>
          <w:rFonts w:cs="Times New Roman"/>
        </w:rPr>
        <w:t xml:space="preserve">Interprofessional Continuing Education, Mayo Clinic College of </w:t>
      </w:r>
      <w:r w:rsidRPr="00F75F8D">
        <w:rPr>
          <w:rFonts w:cs="Times New Roman"/>
        </w:rPr>
        <w:t xml:space="preserve">Medicine and Science must ensure balance, independence, </w:t>
      </w:r>
      <w:proofErr w:type="gramStart"/>
      <w:r w:rsidRPr="00F75F8D">
        <w:rPr>
          <w:rFonts w:cs="Times New Roman"/>
        </w:rPr>
        <w:t>objectivity</w:t>
      </w:r>
      <w:proofErr w:type="gramEnd"/>
      <w:r w:rsidRPr="00F75F8D">
        <w:rPr>
          <w:rFonts w:cs="Times New Roman"/>
        </w:rPr>
        <w:t xml:space="preserve"> and scientific rigor in its educational activities.  All who are </w:t>
      </w:r>
      <w:proofErr w:type="gramStart"/>
      <w:r w:rsidRPr="00F75F8D">
        <w:rPr>
          <w:rFonts w:cs="Times New Roman"/>
        </w:rPr>
        <w:t>in a position</w:t>
      </w:r>
      <w:proofErr w:type="gramEnd"/>
      <w:r w:rsidRPr="00F75F8D">
        <w:rPr>
          <w:rFonts w:cs="Times New Roman"/>
        </w:rPr>
        <w:t xml:space="preserve"> to control the content are required to disclose all financial relationships with any ineligible company.   Faculty will also identify any off-label and/or investigational use of pharmaceuticals or instruments discussed in their content for FDA compliance.</w:t>
      </w:r>
    </w:p>
    <w:p w14:paraId="6B7E99DF" w14:textId="77777777" w:rsidR="00864DB5" w:rsidRPr="00F75F8D" w:rsidRDefault="00864DB5" w:rsidP="00864DB5"/>
    <w:p w14:paraId="03BD1E83" w14:textId="5E3B68D5" w:rsidR="006B4F2C" w:rsidRPr="00F75F8D" w:rsidRDefault="006B4F2C" w:rsidP="00864DB5">
      <w:pPr>
        <w:rPr>
          <w:rStyle w:val="Strong"/>
        </w:rPr>
      </w:pPr>
      <w:r w:rsidRPr="00F75F8D">
        <w:rPr>
          <w:rStyle w:val="Strong"/>
        </w:rPr>
        <w:t>Listed below are individuals with control of the content of this program who have disclosed…</w:t>
      </w:r>
    </w:p>
    <w:p w14:paraId="2831A918" w14:textId="77777777" w:rsidR="00864DB5" w:rsidRPr="00F75F8D" w:rsidRDefault="00864DB5" w:rsidP="00864DB5"/>
    <w:p w14:paraId="0948366C" w14:textId="17DAF1C8" w:rsidR="006B4F2C" w:rsidRPr="00F75F8D" w:rsidRDefault="006B4F2C" w:rsidP="00864DB5">
      <w:pPr>
        <w:rPr>
          <w:rStyle w:val="Strong"/>
        </w:rPr>
      </w:pPr>
      <w:r w:rsidRPr="00F75F8D">
        <w:rPr>
          <w:rStyle w:val="Strong"/>
        </w:rPr>
        <w:t xml:space="preserve">Relevant financial relationship(s) with </w:t>
      </w:r>
      <w:r w:rsidR="00BB15E2" w:rsidRPr="00F75F8D">
        <w:rPr>
          <w:rStyle w:val="Strong"/>
        </w:rPr>
        <w:t>ineligible companies</w:t>
      </w:r>
      <w:r w:rsidRPr="00F75F8D">
        <w:rPr>
          <w:rStyle w:val="Strong"/>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10B19" w14:paraId="05B6A739" w14:textId="77777777" w:rsidTr="00510B19">
        <w:tc>
          <w:tcPr>
            <w:tcW w:w="3596" w:type="dxa"/>
          </w:tcPr>
          <w:p w14:paraId="14A8C193" w14:textId="1379A813" w:rsidR="00510B19" w:rsidRDefault="00510B19" w:rsidP="00864DB5">
            <w:r>
              <w:t>Marcie L. Billings, M.D.</w:t>
            </w:r>
          </w:p>
        </w:tc>
        <w:tc>
          <w:tcPr>
            <w:tcW w:w="3597" w:type="dxa"/>
          </w:tcPr>
          <w:p w14:paraId="2916D3FC" w14:textId="20FBE1CE" w:rsidR="00510B19" w:rsidRDefault="00510B19" w:rsidP="00864DB5">
            <w:r>
              <w:t>Stock/Stock Options/Warrants</w:t>
            </w:r>
          </w:p>
        </w:tc>
        <w:tc>
          <w:tcPr>
            <w:tcW w:w="3597" w:type="dxa"/>
          </w:tcPr>
          <w:p w14:paraId="6BCF2B22" w14:textId="4738C5F6" w:rsidR="00510B19" w:rsidRDefault="00510B19" w:rsidP="00864DB5">
            <w:r>
              <w:t>Benchmark, IBM</w:t>
            </w:r>
          </w:p>
        </w:tc>
      </w:tr>
      <w:tr w:rsidR="00510B19" w14:paraId="356F3564" w14:textId="77777777" w:rsidTr="00510B19">
        <w:tc>
          <w:tcPr>
            <w:tcW w:w="3596" w:type="dxa"/>
          </w:tcPr>
          <w:p w14:paraId="4B39F086" w14:textId="7051F9EE" w:rsidR="00510B19" w:rsidRDefault="00510B19" w:rsidP="00864DB5"/>
        </w:tc>
        <w:tc>
          <w:tcPr>
            <w:tcW w:w="3597" w:type="dxa"/>
          </w:tcPr>
          <w:p w14:paraId="08CD3513" w14:textId="402BE385" w:rsidR="00510B19" w:rsidRDefault="00510B19" w:rsidP="00864DB5">
            <w:r>
              <w:t>Board of Directors</w:t>
            </w:r>
          </w:p>
        </w:tc>
        <w:tc>
          <w:tcPr>
            <w:tcW w:w="3597" w:type="dxa"/>
          </w:tcPr>
          <w:p w14:paraId="4379DF10" w14:textId="66B5BBC0" w:rsidR="00510B19" w:rsidRDefault="00510B19" w:rsidP="00864DB5">
            <w:r>
              <w:t>MN Chapter of American Academy of Pediatrics</w:t>
            </w:r>
          </w:p>
        </w:tc>
      </w:tr>
      <w:tr w:rsidR="00510B19" w14:paraId="3F2601BA" w14:textId="77777777" w:rsidTr="00510B19">
        <w:tc>
          <w:tcPr>
            <w:tcW w:w="3596" w:type="dxa"/>
          </w:tcPr>
          <w:p w14:paraId="0660093C" w14:textId="6B94835E" w:rsidR="00510B19" w:rsidRDefault="00510B19" w:rsidP="00864DB5">
            <w:r>
              <w:t>Scott Crow, M.D.</w:t>
            </w:r>
          </w:p>
        </w:tc>
        <w:tc>
          <w:tcPr>
            <w:tcW w:w="3597" w:type="dxa"/>
          </w:tcPr>
          <w:p w14:paraId="2D4EF659" w14:textId="54B9C2FD" w:rsidR="00510B19" w:rsidRDefault="00510B19" w:rsidP="00864DB5">
            <w:r>
              <w:t>Full-time/Part-time Employee</w:t>
            </w:r>
          </w:p>
        </w:tc>
        <w:tc>
          <w:tcPr>
            <w:tcW w:w="3597" w:type="dxa"/>
          </w:tcPr>
          <w:p w14:paraId="494D8CF9" w14:textId="274827B7" w:rsidR="00510B19" w:rsidRDefault="00510B19" w:rsidP="00864DB5">
            <w:r>
              <w:t>The Emily Program</w:t>
            </w:r>
          </w:p>
        </w:tc>
      </w:tr>
      <w:tr w:rsidR="00510B19" w14:paraId="4507E90B" w14:textId="77777777" w:rsidTr="00510B19">
        <w:tc>
          <w:tcPr>
            <w:tcW w:w="3596" w:type="dxa"/>
          </w:tcPr>
          <w:p w14:paraId="185432C2" w14:textId="31FCD721" w:rsidR="00510B19" w:rsidRDefault="00510B19" w:rsidP="00864DB5">
            <w:r>
              <w:t>Carol B. Peterson, Ph.D., L.P.</w:t>
            </w:r>
          </w:p>
        </w:tc>
        <w:tc>
          <w:tcPr>
            <w:tcW w:w="3597" w:type="dxa"/>
          </w:tcPr>
          <w:p w14:paraId="712BF472" w14:textId="24987DA2" w:rsidR="00510B19" w:rsidRDefault="00510B19" w:rsidP="00864DB5">
            <w:r>
              <w:t>Grant/Research Support</w:t>
            </w:r>
          </w:p>
        </w:tc>
        <w:tc>
          <w:tcPr>
            <w:tcW w:w="3597" w:type="dxa"/>
          </w:tcPr>
          <w:p w14:paraId="3E4DAD8E" w14:textId="2F0519D9" w:rsidR="00510B19" w:rsidRDefault="00510B19" w:rsidP="00864DB5">
            <w:r>
              <w:t>NIH Federal Grants for Research</w:t>
            </w:r>
          </w:p>
        </w:tc>
      </w:tr>
    </w:tbl>
    <w:p w14:paraId="789FAB75" w14:textId="77777777" w:rsidR="00510B19" w:rsidRDefault="00510B19" w:rsidP="00864DB5"/>
    <w:p w14:paraId="24C7D501" w14:textId="77777777" w:rsidR="009B686C" w:rsidRPr="00F75F8D" w:rsidRDefault="009B686C" w:rsidP="00864DB5"/>
    <w:p w14:paraId="21433E5D" w14:textId="35ED80B4" w:rsidR="006B4F2C" w:rsidRPr="00F75F8D" w:rsidRDefault="006B4F2C" w:rsidP="00864DB5">
      <w:pPr>
        <w:rPr>
          <w:rStyle w:val="Strong"/>
        </w:rPr>
      </w:pPr>
      <w:r w:rsidRPr="00F75F8D">
        <w:rPr>
          <w:rStyle w:val="Strong"/>
        </w:rPr>
        <w:t xml:space="preserve">No relevant financial relationship(s) with </w:t>
      </w:r>
      <w:r w:rsidR="00BB15E2" w:rsidRPr="00F75F8D">
        <w:rPr>
          <w:rStyle w:val="Strong"/>
        </w:rPr>
        <w:t>ineligible companies</w:t>
      </w:r>
      <w:r w:rsidRPr="00F75F8D">
        <w:rPr>
          <w:rStyle w:val="Strong"/>
        </w:rPr>
        <w:t>:</w:t>
      </w:r>
    </w:p>
    <w:p w14:paraId="58F54AD3" w14:textId="77777777" w:rsidR="00510B19" w:rsidRDefault="00510B19" w:rsidP="00510B19">
      <w:r w:rsidRPr="00510B19">
        <w:t xml:space="preserve">Jocelyn R. Lebow, Ph.D., L.P. </w:t>
      </w:r>
    </w:p>
    <w:p w14:paraId="0AF15713" w14:textId="61CB8D36" w:rsidR="00510B19" w:rsidRPr="00510B19" w:rsidRDefault="00510B19" w:rsidP="00510B19">
      <w:r w:rsidRPr="00510B19">
        <w:t xml:space="preserve">Angela C. </w:t>
      </w:r>
      <w:proofErr w:type="spellStart"/>
      <w:r w:rsidRPr="00510B19">
        <w:t>Mattke</w:t>
      </w:r>
      <w:proofErr w:type="spellEnd"/>
      <w:r w:rsidRPr="00510B19">
        <w:t>, M.D.</w:t>
      </w:r>
    </w:p>
    <w:p w14:paraId="0C225E20" w14:textId="701A92C8" w:rsidR="00510B19" w:rsidRDefault="00510B19" w:rsidP="00864DB5">
      <w:r w:rsidRPr="00510B19">
        <w:t>Paige I. Partain, M.D.</w:t>
      </w:r>
    </w:p>
    <w:p w14:paraId="467E042B" w14:textId="77777777" w:rsidR="00510B19" w:rsidRPr="00F75F8D" w:rsidRDefault="00510B19" w:rsidP="00864DB5"/>
    <w:p w14:paraId="3F6A59CF" w14:textId="75E20B0D" w:rsidR="00864DB5" w:rsidRPr="00C93C74" w:rsidRDefault="00BB15E2" w:rsidP="00864DB5">
      <w:pPr>
        <w:rPr>
          <w:b/>
          <w:i/>
        </w:rPr>
      </w:pPr>
      <w:r w:rsidRPr="00F75F8D">
        <w:rPr>
          <w:rStyle w:val="Strong"/>
        </w:rPr>
        <w:t>References to off-label and/or investigational usage(s) of pharmaceuticals or instruments in their presentation: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93C74" w14:paraId="6B2A979A" w14:textId="77777777" w:rsidTr="001C6541">
        <w:tc>
          <w:tcPr>
            <w:tcW w:w="3596" w:type="dxa"/>
          </w:tcPr>
          <w:p w14:paraId="4E7DB93F" w14:textId="77777777" w:rsidR="00C93C74" w:rsidRDefault="00C93C74" w:rsidP="001C6541">
            <w:r>
              <w:t>Scott Crow, M.D.</w:t>
            </w:r>
          </w:p>
        </w:tc>
        <w:tc>
          <w:tcPr>
            <w:tcW w:w="3597" w:type="dxa"/>
          </w:tcPr>
          <w:p w14:paraId="4838856C" w14:textId="7499D10A" w:rsidR="00C93C74" w:rsidRDefault="005E2334" w:rsidP="001C6541">
            <w:r w:rsidRPr="005E2334">
              <w:t>Fluoxetine</w:t>
            </w:r>
          </w:p>
        </w:tc>
        <w:tc>
          <w:tcPr>
            <w:tcW w:w="3597" w:type="dxa"/>
          </w:tcPr>
          <w:p w14:paraId="3B634A6A" w14:textId="0F98375F" w:rsidR="00C93C74" w:rsidRDefault="00C93C74" w:rsidP="001C6541">
            <w:r>
              <w:t>Multiple manufacturers</w:t>
            </w:r>
          </w:p>
        </w:tc>
      </w:tr>
      <w:tr w:rsidR="005E2334" w14:paraId="60580471" w14:textId="77777777" w:rsidTr="001C6541">
        <w:tc>
          <w:tcPr>
            <w:tcW w:w="3596" w:type="dxa"/>
          </w:tcPr>
          <w:p w14:paraId="216CB751" w14:textId="77777777" w:rsidR="005E2334" w:rsidRDefault="005E2334" w:rsidP="001C6541"/>
        </w:tc>
        <w:tc>
          <w:tcPr>
            <w:tcW w:w="3597" w:type="dxa"/>
          </w:tcPr>
          <w:p w14:paraId="62C16395" w14:textId="6252554E" w:rsidR="005E2334" w:rsidRPr="005E2334" w:rsidRDefault="005E2334" w:rsidP="001C6541">
            <w:proofErr w:type="spellStart"/>
            <w:r w:rsidRPr="005E2334">
              <w:t>Buproprion</w:t>
            </w:r>
            <w:proofErr w:type="spellEnd"/>
          </w:p>
        </w:tc>
        <w:tc>
          <w:tcPr>
            <w:tcW w:w="3597" w:type="dxa"/>
          </w:tcPr>
          <w:p w14:paraId="30163E12" w14:textId="4AF2F090" w:rsidR="005E2334" w:rsidRDefault="005E2334" w:rsidP="001C6541">
            <w:r>
              <w:t>Multiple manufacturers</w:t>
            </w:r>
          </w:p>
        </w:tc>
      </w:tr>
      <w:tr w:rsidR="005E2334" w14:paraId="66860024" w14:textId="77777777" w:rsidTr="001C6541">
        <w:tc>
          <w:tcPr>
            <w:tcW w:w="3596" w:type="dxa"/>
          </w:tcPr>
          <w:p w14:paraId="53D40EFB" w14:textId="77777777" w:rsidR="005E2334" w:rsidRDefault="005E2334" w:rsidP="001C6541"/>
        </w:tc>
        <w:tc>
          <w:tcPr>
            <w:tcW w:w="3597" w:type="dxa"/>
          </w:tcPr>
          <w:p w14:paraId="094FA4A1" w14:textId="24DFD17A" w:rsidR="005E2334" w:rsidRPr="005E2334" w:rsidRDefault="005E2334" w:rsidP="001C6541">
            <w:proofErr w:type="spellStart"/>
            <w:r w:rsidRPr="005E2334">
              <w:t>Lisdexamfetamine</w:t>
            </w:r>
            <w:proofErr w:type="spellEnd"/>
          </w:p>
        </w:tc>
        <w:tc>
          <w:tcPr>
            <w:tcW w:w="3597" w:type="dxa"/>
          </w:tcPr>
          <w:p w14:paraId="4F6B681D" w14:textId="59A2CFA3" w:rsidR="005E2334" w:rsidRDefault="005E2334" w:rsidP="001C6541">
            <w:r>
              <w:rPr>
                <w:rFonts w:ascii="Helvetica" w:hAnsi="Helvetica" w:cs="Helvetica"/>
                <w:sz w:val="20"/>
                <w:szCs w:val="20"/>
              </w:rPr>
              <w:t>Vyvanse</w:t>
            </w:r>
          </w:p>
        </w:tc>
      </w:tr>
    </w:tbl>
    <w:p w14:paraId="2799B33B" w14:textId="77777777" w:rsidR="00C93C74" w:rsidRPr="00F75F8D" w:rsidRDefault="00C93C74" w:rsidP="00864DB5"/>
    <w:p w14:paraId="30AD1355" w14:textId="69E6341E" w:rsidR="00D34535" w:rsidRPr="00F75F8D" w:rsidRDefault="00D34535" w:rsidP="00864DB5">
      <w:r w:rsidRPr="00F75F8D">
        <w:t xml:space="preserve">For disclosure information regarding Mayo Clinic School of Continuous Professional Development accreditation review committee member(s) please visit: </w:t>
      </w:r>
      <w:hyperlink r:id="rId8" w:history="1">
        <w:r w:rsidRPr="00F75F8D">
          <w:rPr>
            <w:rStyle w:val="Hyperlink"/>
          </w:rPr>
          <w:t>https://ce.mayo.edu/content/disclosures</w:t>
        </w:r>
      </w:hyperlink>
      <w:r w:rsidRPr="00F75F8D">
        <w:t>.</w:t>
      </w:r>
    </w:p>
    <w:p w14:paraId="7ACB63A4" w14:textId="77777777" w:rsidR="00894D4E" w:rsidRPr="00F75F8D" w:rsidRDefault="00894D4E" w:rsidP="00864DB5">
      <w:pPr>
        <w:rPr>
          <w:rStyle w:val="Strong"/>
          <w:b w:val="0"/>
          <w:color w:val="111111"/>
          <w:shd w:val="clear" w:color="auto" w:fill="FFFFFF"/>
        </w:rPr>
      </w:pPr>
    </w:p>
    <w:p w14:paraId="67BA7A85" w14:textId="23757903" w:rsidR="00E96124" w:rsidRPr="00F75F8D" w:rsidRDefault="00E96124" w:rsidP="00864DB5">
      <w:pPr>
        <w:pStyle w:val="Heading1"/>
      </w:pPr>
      <w:r w:rsidRPr="00F75F8D">
        <w:t>Disclaimer</w:t>
      </w:r>
    </w:p>
    <w:p w14:paraId="77FB288A" w14:textId="3398DF33" w:rsidR="00E96124" w:rsidRPr="00F75F8D" w:rsidRDefault="00E96124" w:rsidP="00864DB5">
      <w:r w:rsidRPr="00F75F8D">
        <w:t>Participation in this Mayo Clinic educational activity does not indicate nor guarantee competence or proficiency in the performance of any procedures which may be discussed or taught in this course.</w:t>
      </w:r>
      <w:r w:rsidR="00864DB5" w:rsidRPr="00F75F8D">
        <w:t xml:space="preserve"> </w:t>
      </w:r>
      <w:r w:rsidRPr="00F75F8D">
        <w:t>You should be aware that substantive developments in the medical field covered by this recording may have occurred sinc</w:t>
      </w:r>
      <w:r w:rsidR="009B686C" w:rsidRPr="00F75F8D">
        <w:t>e the date of original release.</w:t>
      </w:r>
    </w:p>
    <w:p w14:paraId="794F295F" w14:textId="77777777" w:rsidR="00E96124" w:rsidRPr="00F75F8D" w:rsidRDefault="00E96124" w:rsidP="00864DB5"/>
    <w:p w14:paraId="6CF3096F" w14:textId="77777777" w:rsidR="007175A6" w:rsidRPr="00F75F8D" w:rsidRDefault="007175A6" w:rsidP="00864DB5">
      <w:pPr>
        <w:pStyle w:val="Heading1"/>
      </w:pPr>
      <w:r w:rsidRPr="00F75F8D">
        <w:t>Prerequisites for Participation</w:t>
      </w:r>
    </w:p>
    <w:p w14:paraId="42BDE521" w14:textId="77777777" w:rsidR="007175A6" w:rsidRPr="00F75F8D" w:rsidRDefault="007175A6" w:rsidP="00864DB5">
      <w:r w:rsidRPr="00F75F8D">
        <w:t>There are no prerequisites needed prior to participating in this education activity.</w:t>
      </w:r>
    </w:p>
    <w:p w14:paraId="0A0BFBEF" w14:textId="77777777" w:rsidR="00780189" w:rsidRPr="00F75F8D" w:rsidRDefault="00780189" w:rsidP="00864DB5"/>
    <w:p w14:paraId="43F9CF4D" w14:textId="60705D53" w:rsidR="00A94167" w:rsidRPr="00F75F8D" w:rsidRDefault="00A94167" w:rsidP="00A94167">
      <w:pPr>
        <w:pStyle w:val="Heading1"/>
      </w:pPr>
      <w:r w:rsidRPr="00F75F8D">
        <w:t>Method of Participation</w:t>
      </w:r>
    </w:p>
    <w:p w14:paraId="584E03EF" w14:textId="7F8DC634" w:rsidR="00A94167" w:rsidRPr="00F75F8D" w:rsidRDefault="00A94167" w:rsidP="004A0752">
      <w:r w:rsidRPr="00F75F8D">
        <w:t>Participation in this activity consists of reviewing the educational material, completing the learner assessment and evaluation.</w:t>
      </w:r>
    </w:p>
    <w:p w14:paraId="52A3ADF5" w14:textId="77777777" w:rsidR="00A94167" w:rsidRPr="00F75F8D" w:rsidRDefault="00A94167" w:rsidP="004A0752"/>
    <w:p w14:paraId="08CCA43E" w14:textId="75A1EF90" w:rsidR="00780189" w:rsidRPr="00F75F8D" w:rsidRDefault="00FA6C46" w:rsidP="00864DB5">
      <w:pPr>
        <w:pStyle w:val="Heading1"/>
      </w:pPr>
      <w:r w:rsidRPr="00F75F8D">
        <w:t xml:space="preserve">How to </w:t>
      </w:r>
      <w:r w:rsidR="00DB2E40" w:rsidRPr="00F75F8D">
        <w:t xml:space="preserve">Obtain </w:t>
      </w:r>
      <w:r w:rsidRPr="00F75F8D">
        <w:t>Credit</w:t>
      </w:r>
    </w:p>
    <w:p w14:paraId="2DC59CA4" w14:textId="1C4166B8" w:rsidR="00780189" w:rsidRPr="00F75F8D" w:rsidRDefault="00780189" w:rsidP="00864DB5">
      <w:r w:rsidRPr="00F75F8D">
        <w:t xml:space="preserve">To </w:t>
      </w:r>
      <w:r w:rsidR="00DB2E40" w:rsidRPr="00F75F8D">
        <w:t>obtain</w:t>
      </w:r>
      <w:r w:rsidR="00906A07" w:rsidRPr="00F75F8D">
        <w:t xml:space="preserve"> </w:t>
      </w:r>
      <w:r w:rsidR="00DB2E40" w:rsidRPr="00F75F8D">
        <w:t>c</w:t>
      </w:r>
      <w:r w:rsidR="00906A07" w:rsidRPr="00F75F8D">
        <w:t>redit, c</w:t>
      </w:r>
      <w:r w:rsidRPr="00F75F8D">
        <w:t>omplete the</w:t>
      </w:r>
      <w:r w:rsidR="004A0752" w:rsidRPr="00F75F8D">
        <w:t xml:space="preserve"> </w:t>
      </w:r>
      <w:r w:rsidR="000735E0" w:rsidRPr="00F75F8D">
        <w:t>assessment</w:t>
      </w:r>
      <w:r w:rsidR="003C1E43" w:rsidRPr="00F75F8D">
        <w:t xml:space="preserve">, </w:t>
      </w:r>
      <w:r w:rsidRPr="00F75F8D">
        <w:t>evaluation</w:t>
      </w:r>
      <w:r w:rsidR="00DB2E40" w:rsidRPr="00F75F8D">
        <w:t xml:space="preserve"> </w:t>
      </w:r>
      <w:r w:rsidRPr="00F75F8D">
        <w:t>and submit</w:t>
      </w:r>
      <w:r w:rsidR="003C1E43" w:rsidRPr="00F75F8D">
        <w:t>.</w:t>
      </w:r>
    </w:p>
    <w:p w14:paraId="6995F718" w14:textId="77777777" w:rsidR="00780189" w:rsidRPr="00F75F8D" w:rsidRDefault="00780189" w:rsidP="00864DB5"/>
    <w:p w14:paraId="39353BB8" w14:textId="157CF3CE" w:rsidR="00780189" w:rsidRPr="00F75F8D" w:rsidRDefault="00780189" w:rsidP="008C1421">
      <w:pPr>
        <w:pStyle w:val="Heading1"/>
      </w:pPr>
      <w:r w:rsidRPr="00F75F8D">
        <w:t>Release and Expiration Dates</w:t>
      </w:r>
    </w:p>
    <w:p w14:paraId="6E0DF116" w14:textId="7037EEBB" w:rsidR="007D4ECB" w:rsidRPr="00F75F8D" w:rsidRDefault="00906A07" w:rsidP="00B63DE0">
      <w:pPr>
        <w:ind w:left="2160" w:hanging="1800"/>
      </w:pPr>
      <w:r w:rsidRPr="00F75F8D">
        <w:t>Release</w:t>
      </w:r>
      <w:r w:rsidR="00FA6C46" w:rsidRPr="00F75F8D">
        <w:t xml:space="preserve"> Date</w:t>
      </w:r>
      <w:r w:rsidRPr="00F75F8D">
        <w:t>:</w:t>
      </w:r>
      <w:r w:rsidR="007D4ECB" w:rsidRPr="00F75F8D">
        <w:tab/>
      </w:r>
      <w:r w:rsidR="00B63DE0" w:rsidRPr="00F75F8D">
        <w:tab/>
      </w:r>
      <w:r w:rsidR="00F75F8D" w:rsidRPr="00F75F8D">
        <w:t>04/01/2022</w:t>
      </w:r>
    </w:p>
    <w:p w14:paraId="7940DED8" w14:textId="710AC649" w:rsidR="007D4ECB" w:rsidRPr="00F75F8D" w:rsidRDefault="00FA6C46" w:rsidP="00B63DE0">
      <w:pPr>
        <w:ind w:left="2160" w:hanging="1800"/>
      </w:pPr>
      <w:r w:rsidRPr="00F75F8D">
        <w:t>Expiration Date:</w:t>
      </w:r>
      <w:r w:rsidR="00B63DE0" w:rsidRPr="00F75F8D">
        <w:tab/>
      </w:r>
      <w:r w:rsidR="007D4ECB" w:rsidRPr="00F75F8D">
        <w:tab/>
      </w:r>
      <w:r w:rsidR="00F75F8D" w:rsidRPr="00F75F8D">
        <w:t>03/31/2025</w:t>
      </w:r>
    </w:p>
    <w:p w14:paraId="30030DB8" w14:textId="77777777" w:rsidR="00C40B0D" w:rsidRPr="00F75F8D" w:rsidRDefault="00C40B0D" w:rsidP="00864DB5"/>
    <w:p w14:paraId="00320A30" w14:textId="1452E6C8" w:rsidR="00780189" w:rsidRPr="00F75F8D" w:rsidRDefault="00780189" w:rsidP="005D2133">
      <w:pPr>
        <w:pStyle w:val="Heading1"/>
      </w:pPr>
      <w:r w:rsidRPr="00F75F8D">
        <w:rPr>
          <w:rStyle w:val="Heading1Char"/>
          <w:b/>
        </w:rPr>
        <w:t>Acknowledgement of Commercial Support</w:t>
      </w:r>
    </w:p>
    <w:p w14:paraId="1ABD8BB6" w14:textId="4B6C516F" w:rsidR="005C44C7" w:rsidRPr="0074699E" w:rsidRDefault="00780189" w:rsidP="00864DB5">
      <w:r w:rsidRPr="00F75F8D">
        <w:t>No commercial support was received in the p</w:t>
      </w:r>
      <w:r w:rsidR="00DB2E40" w:rsidRPr="00F75F8D">
        <w:t xml:space="preserve">roduction of this </w:t>
      </w:r>
      <w:r w:rsidR="00FA6C46" w:rsidRPr="00F75F8D">
        <w:t>activity.</w:t>
      </w:r>
    </w:p>
    <w:p w14:paraId="6D61A264" w14:textId="77777777" w:rsidR="00FA6C46" w:rsidRPr="0074699E" w:rsidRDefault="00FA6C46" w:rsidP="00864DB5"/>
    <w:p w14:paraId="6C04FE78" w14:textId="77777777" w:rsidR="00780189" w:rsidRPr="0074699E" w:rsidRDefault="00780189" w:rsidP="00864DB5"/>
    <w:p w14:paraId="16A33609" w14:textId="77777777" w:rsidR="00780189" w:rsidRPr="002330B8" w:rsidRDefault="00780189" w:rsidP="00864DB5">
      <w:pPr>
        <w:pStyle w:val="Heading1"/>
      </w:pPr>
      <w:r w:rsidRPr="002330B8">
        <w:t>Faculty and Course Director Listing and Credentials</w:t>
      </w:r>
    </w:p>
    <w:p w14:paraId="0E5CB53D" w14:textId="77777777" w:rsidR="00780189" w:rsidRPr="003E1EF7" w:rsidRDefault="00780189" w:rsidP="00864DB5">
      <w:r w:rsidRPr="003E1EF7">
        <w:t>Course Director</w:t>
      </w:r>
      <w:r w:rsidR="009B686C" w:rsidRPr="003E1EF7">
        <w:t>(s)</w:t>
      </w:r>
    </w:p>
    <w:p w14:paraId="74A88887" w14:textId="27F4BD37" w:rsidR="009B686C" w:rsidRDefault="003E1EF7" w:rsidP="00864DB5">
      <w:r w:rsidRPr="003E1EF7">
        <w:t>Jocelyn R. Lebow, Ph.D., L.P.</w:t>
      </w:r>
    </w:p>
    <w:p w14:paraId="730BBDAB" w14:textId="77777777" w:rsidR="003E1EF7" w:rsidRPr="009E2D5D" w:rsidRDefault="003E1EF7" w:rsidP="00864DB5">
      <w:pPr>
        <w:rPr>
          <w:highlight w:val="yellow"/>
        </w:rPr>
      </w:pPr>
    </w:p>
    <w:p w14:paraId="008AA5B9" w14:textId="77777777" w:rsidR="009B686C" w:rsidRPr="00CF1B1F" w:rsidRDefault="009B686C" w:rsidP="00864DB5">
      <w:r w:rsidRPr="00CF1B1F">
        <w:t>Faculty(s)</w:t>
      </w:r>
    </w:p>
    <w:p w14:paraId="2BC519B5" w14:textId="77777777" w:rsidR="00CF1B1F" w:rsidRDefault="00CF1B1F" w:rsidP="003E1EF7">
      <w:r>
        <w:t>Scott Crow, M.D.</w:t>
      </w:r>
    </w:p>
    <w:p w14:paraId="48DB48B5" w14:textId="5A3B309F" w:rsidR="00864DB5" w:rsidRDefault="003E1EF7" w:rsidP="003E1EF7">
      <w:r w:rsidRPr="003E1EF7">
        <w:t>Marcie L. Billings, M.D.</w:t>
      </w:r>
    </w:p>
    <w:p w14:paraId="325B650B" w14:textId="17F686B0" w:rsidR="003E1EF7" w:rsidRDefault="003E1EF7" w:rsidP="003E1EF7">
      <w:r w:rsidRPr="003E1EF7">
        <w:t xml:space="preserve">Angela C. </w:t>
      </w:r>
      <w:proofErr w:type="spellStart"/>
      <w:r w:rsidRPr="003E1EF7">
        <w:t>Mattke</w:t>
      </w:r>
      <w:proofErr w:type="spellEnd"/>
      <w:r w:rsidRPr="003E1EF7">
        <w:t>, M.D.</w:t>
      </w:r>
    </w:p>
    <w:p w14:paraId="6799D9EA" w14:textId="4377F558" w:rsidR="00CF1B1F" w:rsidRDefault="00CF1B1F" w:rsidP="003E1EF7">
      <w:r w:rsidRPr="00CF1B1F">
        <w:t>Paige I. Partain, M.D.</w:t>
      </w:r>
    </w:p>
    <w:p w14:paraId="6C0BFA79" w14:textId="42BEB03D" w:rsidR="00CF1B1F" w:rsidRPr="002330B8" w:rsidRDefault="00CF1B1F" w:rsidP="003E1EF7">
      <w:r w:rsidRPr="00CF1B1F">
        <w:t>Carol Peterson, M.D.</w:t>
      </w:r>
    </w:p>
    <w:p w14:paraId="39CA00AF" w14:textId="77777777" w:rsidR="00864DB5" w:rsidRPr="004A0752" w:rsidRDefault="00864DB5" w:rsidP="00864DB5">
      <w:pPr>
        <w:rPr>
          <w:rStyle w:val="Heading1Char"/>
          <w:highlight w:val="green"/>
        </w:rPr>
      </w:pPr>
    </w:p>
    <w:p w14:paraId="667D1757" w14:textId="51B9164A" w:rsidR="000B5EB9" w:rsidRDefault="00FC1749" w:rsidP="00864DB5">
      <w:pPr>
        <w:pStyle w:val="Heading1"/>
        <w:rPr>
          <w:szCs w:val="28"/>
        </w:rPr>
      </w:pPr>
      <w:r w:rsidRPr="009E2D5D">
        <w:rPr>
          <w:szCs w:val="28"/>
        </w:rPr>
        <w:t>Bibliographic Resources</w:t>
      </w:r>
    </w:p>
    <w:p w14:paraId="2A0FD109" w14:textId="2EDB5AA5" w:rsidR="00F75F8D" w:rsidRPr="00F75F8D" w:rsidRDefault="00F75F8D" w:rsidP="00067B29">
      <w:pPr>
        <w:pStyle w:val="Heading1"/>
        <w:rPr>
          <w:b w:val="0"/>
          <w:bCs/>
          <w:sz w:val="22"/>
        </w:rPr>
      </w:pPr>
      <w:proofErr w:type="spellStart"/>
      <w:r w:rsidRPr="00F75F8D">
        <w:rPr>
          <w:b w:val="0"/>
          <w:bCs/>
          <w:sz w:val="22"/>
        </w:rPr>
        <w:lastRenderedPageBreak/>
        <w:t>Arcelus</w:t>
      </w:r>
      <w:proofErr w:type="spellEnd"/>
      <w:r w:rsidRPr="00F75F8D">
        <w:rPr>
          <w:b w:val="0"/>
          <w:bCs/>
          <w:sz w:val="22"/>
        </w:rPr>
        <w:t xml:space="preserve"> J, Mitchell AJ, Wales J, Nielsen S. Mortality rates in patients with anorexia nervosa and other eating disorders: A meta-analysis of 36 studies. Arch Gen </w:t>
      </w:r>
      <w:proofErr w:type="spellStart"/>
      <w:r w:rsidRPr="00F75F8D">
        <w:rPr>
          <w:b w:val="0"/>
          <w:bCs/>
          <w:sz w:val="22"/>
        </w:rPr>
        <w:t>Psychiat</w:t>
      </w:r>
      <w:proofErr w:type="spellEnd"/>
      <w:r w:rsidRPr="00F75F8D">
        <w:rPr>
          <w:b w:val="0"/>
          <w:bCs/>
          <w:sz w:val="22"/>
        </w:rPr>
        <w:t xml:space="preserve">. 2011; 68(7):724-731.  </w:t>
      </w:r>
    </w:p>
    <w:p w14:paraId="3031458F" w14:textId="6D463BB7" w:rsidR="00F75F8D" w:rsidRPr="00F75F8D" w:rsidRDefault="00F75F8D" w:rsidP="00F75F8D">
      <w:pPr>
        <w:rPr>
          <w:bCs/>
        </w:rPr>
      </w:pPr>
    </w:p>
    <w:p w14:paraId="3A6DC13C" w14:textId="63827A39" w:rsidR="00F75F8D" w:rsidRPr="00F75F8D" w:rsidRDefault="00F75F8D" w:rsidP="00F75F8D">
      <w:pPr>
        <w:rPr>
          <w:bCs/>
        </w:rPr>
      </w:pPr>
      <w:r w:rsidRPr="00F75F8D">
        <w:rPr>
          <w:bCs/>
        </w:rPr>
        <w:t xml:space="preserve">Clarke I, </w:t>
      </w:r>
      <w:proofErr w:type="spellStart"/>
      <w:r w:rsidRPr="00F75F8D">
        <w:rPr>
          <w:bCs/>
        </w:rPr>
        <w:t>Polimeni</w:t>
      </w:r>
      <w:proofErr w:type="spellEnd"/>
      <w:r w:rsidRPr="00F75F8D">
        <w:rPr>
          <w:bCs/>
        </w:rPr>
        <w:t xml:space="preserve">-Walker I. Treating individuals with eating disorders in family practice: A needs assessment. Eat </w:t>
      </w:r>
      <w:proofErr w:type="spellStart"/>
      <w:r w:rsidRPr="00F75F8D">
        <w:rPr>
          <w:bCs/>
        </w:rPr>
        <w:t>Disord</w:t>
      </w:r>
      <w:proofErr w:type="spellEnd"/>
      <w:r w:rsidRPr="00F75F8D">
        <w:rPr>
          <w:bCs/>
        </w:rPr>
        <w:t xml:space="preserve">, 2004; 12:293-301.  </w:t>
      </w:r>
    </w:p>
    <w:p w14:paraId="599C58E6" w14:textId="5E0B6078" w:rsidR="00F75F8D" w:rsidRPr="00F75F8D" w:rsidRDefault="00F75F8D" w:rsidP="00F75F8D">
      <w:pPr>
        <w:rPr>
          <w:bCs/>
        </w:rPr>
      </w:pPr>
    </w:p>
    <w:p w14:paraId="7580D187" w14:textId="48A9FC95" w:rsidR="00F75F8D" w:rsidRPr="00F75F8D" w:rsidRDefault="00F75F8D" w:rsidP="00F75F8D">
      <w:pPr>
        <w:rPr>
          <w:bCs/>
        </w:rPr>
      </w:pPr>
      <w:r w:rsidRPr="00F75F8D">
        <w:rPr>
          <w:bCs/>
        </w:rPr>
        <w:t xml:space="preserve">Golden NH, Schneider M, Wood C. Preventing obesity and eating disorders in adolescents. Pediatrics. 2016;138(3).  </w:t>
      </w:r>
    </w:p>
    <w:p w14:paraId="3C4BC2E3" w14:textId="41804160" w:rsidR="00F75F8D" w:rsidRPr="00F75F8D" w:rsidRDefault="00F75F8D" w:rsidP="00F75F8D">
      <w:pPr>
        <w:rPr>
          <w:bCs/>
        </w:rPr>
      </w:pPr>
    </w:p>
    <w:p w14:paraId="7058E194" w14:textId="79156DBB" w:rsidR="00F75F8D" w:rsidRPr="00F75F8D" w:rsidRDefault="00F75F8D" w:rsidP="00F75F8D">
      <w:pPr>
        <w:rPr>
          <w:bCs/>
        </w:rPr>
      </w:pPr>
      <w:r w:rsidRPr="00F75F8D">
        <w:rPr>
          <w:bCs/>
        </w:rPr>
        <w:t xml:space="preserve">Golden NH, Katzman DK, Sawyer SM, Ornstein RM, Rome ES, Garber AK, Kohn M, </w:t>
      </w:r>
      <w:proofErr w:type="spellStart"/>
      <w:r w:rsidRPr="00F75F8D">
        <w:rPr>
          <w:bCs/>
        </w:rPr>
        <w:t>Kreipe</w:t>
      </w:r>
      <w:proofErr w:type="spellEnd"/>
      <w:r w:rsidRPr="00F75F8D">
        <w:rPr>
          <w:bCs/>
        </w:rPr>
        <w:t xml:space="preserve"> RE. Update on the medical management of eating disorders in adolescents. J Adolescent Health. 2015;56(4):370-5.  </w:t>
      </w:r>
    </w:p>
    <w:p w14:paraId="461FA8CD" w14:textId="479BA2B4" w:rsidR="00F75F8D" w:rsidRPr="00F75F8D" w:rsidRDefault="00F75F8D" w:rsidP="00F75F8D">
      <w:pPr>
        <w:rPr>
          <w:bCs/>
        </w:rPr>
      </w:pPr>
    </w:p>
    <w:p w14:paraId="3EE0F5B6" w14:textId="77777777" w:rsidR="00F75F8D" w:rsidRPr="00F75F8D" w:rsidRDefault="00F75F8D" w:rsidP="00F75F8D">
      <w:pPr>
        <w:pStyle w:val="Heading1"/>
        <w:rPr>
          <w:b w:val="0"/>
          <w:bCs/>
          <w:sz w:val="22"/>
        </w:rPr>
      </w:pPr>
      <w:r w:rsidRPr="00F75F8D">
        <w:rPr>
          <w:b w:val="0"/>
          <w:bCs/>
          <w:sz w:val="22"/>
        </w:rPr>
        <w:t xml:space="preserve">Leigh H, Stewart D, </w:t>
      </w:r>
      <w:proofErr w:type="spellStart"/>
      <w:r w:rsidRPr="00F75F8D">
        <w:rPr>
          <w:b w:val="0"/>
          <w:bCs/>
          <w:sz w:val="22"/>
        </w:rPr>
        <w:t>Mallios</w:t>
      </w:r>
      <w:proofErr w:type="spellEnd"/>
      <w:r w:rsidRPr="00F75F8D">
        <w:rPr>
          <w:b w:val="0"/>
          <w:bCs/>
          <w:sz w:val="22"/>
        </w:rPr>
        <w:t xml:space="preserve"> R. Mental </w:t>
      </w:r>
      <w:proofErr w:type="gramStart"/>
      <w:r w:rsidRPr="00F75F8D">
        <w:rPr>
          <w:b w:val="0"/>
          <w:bCs/>
          <w:sz w:val="22"/>
        </w:rPr>
        <w:t>health</w:t>
      </w:r>
      <w:proofErr w:type="gramEnd"/>
      <w:r w:rsidRPr="00F75F8D">
        <w:rPr>
          <w:b w:val="0"/>
          <w:bCs/>
          <w:sz w:val="22"/>
        </w:rPr>
        <w:t xml:space="preserve"> and psychiatry training in primary care residency programs: Part II. What skills and diagnoses are taught, how adequate, and what affects training directors' satisfaction? Gen Hosp </w:t>
      </w:r>
      <w:proofErr w:type="spellStart"/>
      <w:r w:rsidRPr="00F75F8D">
        <w:rPr>
          <w:b w:val="0"/>
          <w:bCs/>
          <w:sz w:val="22"/>
        </w:rPr>
        <w:t>Psychiatr</w:t>
      </w:r>
      <w:proofErr w:type="spellEnd"/>
      <w:r w:rsidRPr="00F75F8D">
        <w:rPr>
          <w:b w:val="0"/>
          <w:bCs/>
          <w:sz w:val="22"/>
        </w:rPr>
        <w:t xml:space="preserve">, 2006;28(3): 195-204.  </w:t>
      </w:r>
    </w:p>
    <w:p w14:paraId="2CC05E97" w14:textId="77777777" w:rsidR="00F75F8D" w:rsidRPr="00F75F8D" w:rsidRDefault="00F75F8D" w:rsidP="00F75F8D">
      <w:pPr>
        <w:rPr>
          <w:bCs/>
        </w:rPr>
      </w:pPr>
    </w:p>
    <w:p w14:paraId="44918138" w14:textId="573F26CD" w:rsidR="00F75F8D" w:rsidRPr="00F75F8D" w:rsidRDefault="00F75F8D" w:rsidP="00F75F8D">
      <w:pPr>
        <w:rPr>
          <w:bCs/>
        </w:rPr>
      </w:pPr>
      <w:r w:rsidRPr="00F75F8D">
        <w:rPr>
          <w:bCs/>
        </w:rPr>
        <w:t xml:space="preserve">Linville D, Brown T, O'Neil M. Medical providers' self-perceived knowledge and skills for working with eating disorders: a national survey. Eat </w:t>
      </w:r>
      <w:proofErr w:type="spellStart"/>
      <w:r w:rsidRPr="00F75F8D">
        <w:rPr>
          <w:bCs/>
        </w:rPr>
        <w:t>Disord</w:t>
      </w:r>
      <w:proofErr w:type="spellEnd"/>
      <w:r w:rsidRPr="00F75F8D">
        <w:rPr>
          <w:bCs/>
        </w:rPr>
        <w:t xml:space="preserve">, 2002; 20(1):1-13.  </w:t>
      </w:r>
    </w:p>
    <w:p w14:paraId="1989369D" w14:textId="77777777" w:rsidR="00F75F8D" w:rsidRPr="00F75F8D" w:rsidRDefault="00F75F8D" w:rsidP="00F75F8D">
      <w:pPr>
        <w:rPr>
          <w:bCs/>
        </w:rPr>
      </w:pPr>
    </w:p>
    <w:p w14:paraId="38BDB240" w14:textId="1D1714E4" w:rsidR="00F75F8D" w:rsidRPr="00F75F8D" w:rsidRDefault="00F75F8D" w:rsidP="00F75F8D">
      <w:pPr>
        <w:rPr>
          <w:bCs/>
        </w:rPr>
      </w:pPr>
      <w:r w:rsidRPr="00F75F8D">
        <w:rPr>
          <w:bCs/>
        </w:rPr>
        <w:t xml:space="preserve">Stein R, McCue Horowitz S, </w:t>
      </w:r>
      <w:proofErr w:type="spellStart"/>
      <w:r w:rsidRPr="00F75F8D">
        <w:rPr>
          <w:bCs/>
        </w:rPr>
        <w:t>Storfer-Isser</w:t>
      </w:r>
      <w:proofErr w:type="spellEnd"/>
      <w:r w:rsidRPr="00F75F8D">
        <w:rPr>
          <w:bCs/>
        </w:rPr>
        <w:t xml:space="preserve"> A, Heneghan A, Olson L, Eaton </w:t>
      </w:r>
      <w:proofErr w:type="spellStart"/>
      <w:r w:rsidRPr="00F75F8D">
        <w:rPr>
          <w:bCs/>
        </w:rPr>
        <w:t>Hoagwood</w:t>
      </w:r>
      <w:proofErr w:type="spellEnd"/>
      <w:r w:rsidRPr="00F75F8D">
        <w:rPr>
          <w:bCs/>
        </w:rPr>
        <w:t xml:space="preserve">, K. Do pediatricians think they are responsible for identification and management of child mental health problems? Results of the AAP Periodic Survey.  </w:t>
      </w:r>
      <w:proofErr w:type="spellStart"/>
      <w:r w:rsidRPr="00F75F8D">
        <w:rPr>
          <w:bCs/>
        </w:rPr>
        <w:t>Amb</w:t>
      </w:r>
      <w:proofErr w:type="spellEnd"/>
      <w:r w:rsidRPr="00F75F8D">
        <w:rPr>
          <w:bCs/>
        </w:rPr>
        <w:t xml:space="preserve"> Peds, 2008; 8(1):11-17.  </w:t>
      </w:r>
    </w:p>
    <w:p w14:paraId="0D2E2D5C" w14:textId="3F8EDA18" w:rsidR="00F75F8D" w:rsidRPr="00F75F8D" w:rsidRDefault="00F75F8D" w:rsidP="00F75F8D">
      <w:pPr>
        <w:rPr>
          <w:bCs/>
        </w:rPr>
      </w:pPr>
    </w:p>
    <w:p w14:paraId="6651A2FB" w14:textId="385F85C5" w:rsidR="00F75F8D" w:rsidRPr="00F75F8D" w:rsidRDefault="00F75F8D" w:rsidP="00F75F8D">
      <w:pPr>
        <w:rPr>
          <w:bCs/>
        </w:rPr>
      </w:pPr>
      <w:r w:rsidRPr="00F75F8D">
        <w:rPr>
          <w:bCs/>
        </w:rPr>
        <w:t xml:space="preserve">Robinson AL, </w:t>
      </w:r>
      <w:proofErr w:type="spellStart"/>
      <w:r w:rsidRPr="00F75F8D">
        <w:rPr>
          <w:bCs/>
        </w:rPr>
        <w:t>Boachie</w:t>
      </w:r>
      <w:proofErr w:type="spellEnd"/>
      <w:r w:rsidRPr="00F75F8D">
        <w:rPr>
          <w:bCs/>
        </w:rPr>
        <w:t xml:space="preserve"> A, Lafrance GA. </w:t>
      </w:r>
      <w:proofErr w:type="gramStart"/>
      <w:r w:rsidRPr="00F75F8D">
        <w:rPr>
          <w:bCs/>
        </w:rPr>
        <w:t>Assessment</w:t>
      </w:r>
      <w:proofErr w:type="gramEnd"/>
      <w:r w:rsidRPr="00F75F8D">
        <w:rPr>
          <w:bCs/>
        </w:rPr>
        <w:t xml:space="preserve"> and treatment of pediatric eating disorders: a survey of physicians and psychologists. J </w:t>
      </w:r>
      <w:proofErr w:type="spellStart"/>
      <w:r w:rsidRPr="00F75F8D">
        <w:rPr>
          <w:bCs/>
        </w:rPr>
        <w:t>Canad</w:t>
      </w:r>
      <w:proofErr w:type="spellEnd"/>
      <w:r w:rsidRPr="00F75F8D">
        <w:rPr>
          <w:bCs/>
        </w:rPr>
        <w:t xml:space="preserve"> </w:t>
      </w:r>
      <w:proofErr w:type="spellStart"/>
      <w:r w:rsidRPr="00F75F8D">
        <w:rPr>
          <w:bCs/>
        </w:rPr>
        <w:t>Acad</w:t>
      </w:r>
      <w:proofErr w:type="spellEnd"/>
      <w:r w:rsidRPr="00F75F8D">
        <w:rPr>
          <w:bCs/>
        </w:rPr>
        <w:t xml:space="preserve"> Child </w:t>
      </w:r>
      <w:proofErr w:type="spellStart"/>
      <w:r w:rsidRPr="00F75F8D">
        <w:rPr>
          <w:bCs/>
        </w:rPr>
        <w:t>Adolesc</w:t>
      </w:r>
      <w:proofErr w:type="spellEnd"/>
      <w:r w:rsidRPr="00F75F8D">
        <w:rPr>
          <w:bCs/>
        </w:rPr>
        <w:t xml:space="preserve"> </w:t>
      </w:r>
      <w:proofErr w:type="spellStart"/>
      <w:r w:rsidRPr="00F75F8D">
        <w:rPr>
          <w:bCs/>
        </w:rPr>
        <w:t>Psychiatr</w:t>
      </w:r>
      <w:proofErr w:type="spellEnd"/>
      <w:r w:rsidRPr="00F75F8D">
        <w:rPr>
          <w:bCs/>
        </w:rPr>
        <w:t xml:space="preserve">. 2012;21(1): 45-52.  </w:t>
      </w:r>
    </w:p>
    <w:p w14:paraId="439BB43A" w14:textId="4000D8F6" w:rsidR="00F75F8D" w:rsidRPr="00F75F8D" w:rsidRDefault="00F75F8D" w:rsidP="00F75F8D">
      <w:pPr>
        <w:rPr>
          <w:bCs/>
        </w:rPr>
      </w:pPr>
    </w:p>
    <w:p w14:paraId="7B902A7B" w14:textId="79C9B2BA" w:rsidR="00F75F8D" w:rsidRPr="00F75F8D" w:rsidRDefault="00F75F8D" w:rsidP="00F75F8D">
      <w:pPr>
        <w:rPr>
          <w:bCs/>
        </w:rPr>
      </w:pPr>
      <w:r w:rsidRPr="00F75F8D">
        <w:rPr>
          <w:bCs/>
        </w:rPr>
        <w:t xml:space="preserve">Winders Davis D, Honaker SM, Jones VF, Williams PG, Stocker F, Martin E. </w:t>
      </w:r>
      <w:proofErr w:type="gramStart"/>
      <w:r w:rsidRPr="00F75F8D">
        <w:rPr>
          <w:bCs/>
        </w:rPr>
        <w:t>Identification</w:t>
      </w:r>
      <w:proofErr w:type="gramEnd"/>
      <w:r w:rsidRPr="00F75F8D">
        <w:rPr>
          <w:bCs/>
        </w:rPr>
        <w:t xml:space="preserve"> and management of behavioral/mental health problems in primary care pediatrics: perceived strengths, challenges, and new delivery models. Clin Peds, 2012;10:978-82.  </w:t>
      </w:r>
    </w:p>
    <w:p w14:paraId="79EDEEF3" w14:textId="77777777" w:rsidR="00F75F8D" w:rsidRPr="00F75F8D" w:rsidRDefault="00F75F8D" w:rsidP="00F75F8D"/>
    <w:p w14:paraId="2B668B62" w14:textId="5E06DC50" w:rsidR="00864DB5" w:rsidRPr="0074699E" w:rsidRDefault="0081616B" w:rsidP="00864DB5">
      <w:pPr>
        <w:pStyle w:val="Heading1"/>
      </w:pPr>
      <w:r w:rsidRPr="0074699E">
        <w:t>Copyright</w:t>
      </w:r>
    </w:p>
    <w:p w14:paraId="162F05FD" w14:textId="3941B040" w:rsidR="00780189" w:rsidRPr="0074699E" w:rsidRDefault="00CF4CDD" w:rsidP="00864DB5">
      <w:pPr>
        <w:rPr>
          <w:b/>
          <w:u w:val="single"/>
        </w:rPr>
      </w:pPr>
      <w:r w:rsidRPr="00F75F8D">
        <w:t>Mayo Foundation for Medical Education and Research.</w:t>
      </w:r>
      <w:r w:rsidR="00864DB5" w:rsidRPr="00F75F8D">
        <w:t xml:space="preserve"> </w:t>
      </w:r>
      <w:r w:rsidRPr="00F75F8D">
        <w:t>All rights reserved.</w:t>
      </w:r>
      <w:r w:rsidR="00864DB5" w:rsidRPr="00F75F8D">
        <w:t xml:space="preserve"> </w:t>
      </w:r>
      <w:r w:rsidRPr="00F75F8D">
        <w:t xml:space="preserve">Copyright </w:t>
      </w:r>
      <w:r w:rsidR="00AB71E0" w:rsidRPr="00F75F8D">
        <w:t>202</w:t>
      </w:r>
      <w:r w:rsidR="00BB15E2" w:rsidRPr="00F75F8D">
        <w:t>2</w:t>
      </w:r>
    </w:p>
    <w:sectPr w:rsidR="00780189" w:rsidRPr="0074699E" w:rsidSect="0074699E">
      <w:pgSz w:w="12240" w:h="15840"/>
      <w:pgMar w:top="1152"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9A464" w14:textId="77777777" w:rsidR="000A6C56" w:rsidRDefault="000A6C56" w:rsidP="00864DB5">
      <w:r>
        <w:separator/>
      </w:r>
    </w:p>
  </w:endnote>
  <w:endnote w:type="continuationSeparator" w:id="0">
    <w:p w14:paraId="680F2E03" w14:textId="77777777" w:rsidR="000A6C56" w:rsidRDefault="000A6C56" w:rsidP="0086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E4542" w14:textId="77777777" w:rsidR="000A6C56" w:rsidRDefault="000A6C56" w:rsidP="00864DB5">
      <w:r>
        <w:separator/>
      </w:r>
    </w:p>
  </w:footnote>
  <w:footnote w:type="continuationSeparator" w:id="0">
    <w:p w14:paraId="41E3EB1D" w14:textId="77777777" w:rsidR="000A6C56" w:rsidRDefault="000A6C56" w:rsidP="00864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30E40"/>
    <w:multiLevelType w:val="hybridMultilevel"/>
    <w:tmpl w:val="AE28B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1F6559"/>
    <w:multiLevelType w:val="hybridMultilevel"/>
    <w:tmpl w:val="1AF20E7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2FD3E55"/>
    <w:multiLevelType w:val="hybridMultilevel"/>
    <w:tmpl w:val="DD103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436BBE"/>
    <w:multiLevelType w:val="hybridMultilevel"/>
    <w:tmpl w:val="44782CE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A0D0877"/>
    <w:multiLevelType w:val="hybridMultilevel"/>
    <w:tmpl w:val="CFA6CD6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9835914">
    <w:abstractNumId w:val="1"/>
  </w:num>
  <w:num w:numId="2" w16cid:durableId="79639966">
    <w:abstractNumId w:val="3"/>
  </w:num>
  <w:num w:numId="3" w16cid:durableId="1391731766">
    <w:abstractNumId w:val="0"/>
  </w:num>
  <w:num w:numId="4" w16cid:durableId="38096110">
    <w:abstractNumId w:val="2"/>
  </w:num>
  <w:num w:numId="5" w16cid:durableId="117334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42"/>
    <w:rsid w:val="00061084"/>
    <w:rsid w:val="00067B29"/>
    <w:rsid w:val="000735E0"/>
    <w:rsid w:val="00077C4E"/>
    <w:rsid w:val="000A6C56"/>
    <w:rsid w:val="000B5EB9"/>
    <w:rsid w:val="0010507D"/>
    <w:rsid w:val="0014364E"/>
    <w:rsid w:val="001730DB"/>
    <w:rsid w:val="001B356F"/>
    <w:rsid w:val="001F6951"/>
    <w:rsid w:val="00207130"/>
    <w:rsid w:val="002177F0"/>
    <w:rsid w:val="002237B9"/>
    <w:rsid w:val="002330B8"/>
    <w:rsid w:val="0029020A"/>
    <w:rsid w:val="002A63B1"/>
    <w:rsid w:val="002A7023"/>
    <w:rsid w:val="002D19C6"/>
    <w:rsid w:val="002D5C94"/>
    <w:rsid w:val="00300988"/>
    <w:rsid w:val="00302D32"/>
    <w:rsid w:val="00337B87"/>
    <w:rsid w:val="00365AAB"/>
    <w:rsid w:val="00371850"/>
    <w:rsid w:val="00377DE1"/>
    <w:rsid w:val="00381C2B"/>
    <w:rsid w:val="00387FEE"/>
    <w:rsid w:val="003C1E43"/>
    <w:rsid w:val="003E1EF7"/>
    <w:rsid w:val="0042024C"/>
    <w:rsid w:val="00457C8E"/>
    <w:rsid w:val="004843FA"/>
    <w:rsid w:val="00490207"/>
    <w:rsid w:val="004A0752"/>
    <w:rsid w:val="004B28B9"/>
    <w:rsid w:val="00510B19"/>
    <w:rsid w:val="0051170A"/>
    <w:rsid w:val="00526842"/>
    <w:rsid w:val="00570A9F"/>
    <w:rsid w:val="00587CDC"/>
    <w:rsid w:val="00590816"/>
    <w:rsid w:val="005975A9"/>
    <w:rsid w:val="005B372D"/>
    <w:rsid w:val="005C44C7"/>
    <w:rsid w:val="005D2133"/>
    <w:rsid w:val="005E11AA"/>
    <w:rsid w:val="005E2334"/>
    <w:rsid w:val="0063189B"/>
    <w:rsid w:val="00663A9E"/>
    <w:rsid w:val="00671BD4"/>
    <w:rsid w:val="006A505B"/>
    <w:rsid w:val="006A738A"/>
    <w:rsid w:val="006B4F2C"/>
    <w:rsid w:val="006B62C4"/>
    <w:rsid w:val="006B6487"/>
    <w:rsid w:val="006D51B4"/>
    <w:rsid w:val="007175A6"/>
    <w:rsid w:val="00727B43"/>
    <w:rsid w:val="0074699E"/>
    <w:rsid w:val="00780189"/>
    <w:rsid w:val="007D4ECB"/>
    <w:rsid w:val="007D66DA"/>
    <w:rsid w:val="007E502D"/>
    <w:rsid w:val="00812C60"/>
    <w:rsid w:val="0081616B"/>
    <w:rsid w:val="0085713E"/>
    <w:rsid w:val="00864DB5"/>
    <w:rsid w:val="00891EE9"/>
    <w:rsid w:val="00894D4E"/>
    <w:rsid w:val="008A3322"/>
    <w:rsid w:val="008A607D"/>
    <w:rsid w:val="008B3192"/>
    <w:rsid w:val="008C1421"/>
    <w:rsid w:val="008D237D"/>
    <w:rsid w:val="00906A07"/>
    <w:rsid w:val="00925620"/>
    <w:rsid w:val="00965466"/>
    <w:rsid w:val="009A4DF5"/>
    <w:rsid w:val="009B686C"/>
    <w:rsid w:val="009C5AEA"/>
    <w:rsid w:val="009D4ED2"/>
    <w:rsid w:val="009E245D"/>
    <w:rsid w:val="009E2D5D"/>
    <w:rsid w:val="00A22010"/>
    <w:rsid w:val="00A241E7"/>
    <w:rsid w:val="00A26AF1"/>
    <w:rsid w:val="00A72227"/>
    <w:rsid w:val="00A92449"/>
    <w:rsid w:val="00A94167"/>
    <w:rsid w:val="00AB71E0"/>
    <w:rsid w:val="00B033BF"/>
    <w:rsid w:val="00B200D0"/>
    <w:rsid w:val="00B22861"/>
    <w:rsid w:val="00B25E34"/>
    <w:rsid w:val="00B25F53"/>
    <w:rsid w:val="00B34542"/>
    <w:rsid w:val="00B6144F"/>
    <w:rsid w:val="00B63DE0"/>
    <w:rsid w:val="00B84CC4"/>
    <w:rsid w:val="00BB15E2"/>
    <w:rsid w:val="00BB6A67"/>
    <w:rsid w:val="00BD1A83"/>
    <w:rsid w:val="00C15371"/>
    <w:rsid w:val="00C40B0D"/>
    <w:rsid w:val="00C77CB3"/>
    <w:rsid w:val="00C93C74"/>
    <w:rsid w:val="00C9600A"/>
    <w:rsid w:val="00CF1B1F"/>
    <w:rsid w:val="00CF4CDD"/>
    <w:rsid w:val="00D13A49"/>
    <w:rsid w:val="00D26CDB"/>
    <w:rsid w:val="00D34535"/>
    <w:rsid w:val="00D47FB6"/>
    <w:rsid w:val="00D51A06"/>
    <w:rsid w:val="00DB2E40"/>
    <w:rsid w:val="00DC6CEB"/>
    <w:rsid w:val="00DC73DA"/>
    <w:rsid w:val="00DD02F5"/>
    <w:rsid w:val="00E061FB"/>
    <w:rsid w:val="00E66F08"/>
    <w:rsid w:val="00E96124"/>
    <w:rsid w:val="00E96340"/>
    <w:rsid w:val="00EA51AB"/>
    <w:rsid w:val="00F023B7"/>
    <w:rsid w:val="00F12032"/>
    <w:rsid w:val="00F20744"/>
    <w:rsid w:val="00F2677D"/>
    <w:rsid w:val="00F433BF"/>
    <w:rsid w:val="00F61806"/>
    <w:rsid w:val="00F74526"/>
    <w:rsid w:val="00F75F8D"/>
    <w:rsid w:val="00F80020"/>
    <w:rsid w:val="00F93860"/>
    <w:rsid w:val="00F9688E"/>
    <w:rsid w:val="00FA4494"/>
    <w:rsid w:val="00FA6C46"/>
    <w:rsid w:val="00FC1749"/>
    <w:rsid w:val="00FE1608"/>
    <w:rsid w:val="00FE1749"/>
    <w:rsid w:val="00FE25CA"/>
    <w:rsid w:val="00FE303D"/>
    <w:rsid w:val="00FE679B"/>
    <w:rsid w:val="00FF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EA5C1"/>
  <w15:docId w15:val="{BB49BD48-F166-49B6-8003-611968FE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699E"/>
    <w:rPr>
      <w:rFonts w:ascii="Arial" w:hAnsi="Arial" w:cs="Arial"/>
      <w:sz w:val="22"/>
      <w:szCs w:val="22"/>
    </w:rPr>
  </w:style>
  <w:style w:type="paragraph" w:styleId="Heading1">
    <w:name w:val="heading 1"/>
    <w:basedOn w:val="Normal"/>
    <w:next w:val="Normal"/>
    <w:link w:val="Heading1Char"/>
    <w:qFormat/>
    <w:rsid w:val="0074699E"/>
    <w:pPr>
      <w:outlineLvl w:val="0"/>
    </w:pPr>
    <w:rPr>
      <w:b/>
      <w:sz w:val="28"/>
    </w:rPr>
  </w:style>
  <w:style w:type="paragraph" w:styleId="Heading4">
    <w:name w:val="heading 4"/>
    <w:basedOn w:val="Normal"/>
    <w:next w:val="Normal"/>
    <w:link w:val="Heading4Char"/>
    <w:qFormat/>
    <w:rsid w:val="006B4F2C"/>
    <w:pPr>
      <w:keepNext/>
      <w:tabs>
        <w:tab w:val="left" w:pos="-1440"/>
        <w:tab w:val="left" w:pos="-720"/>
        <w:tab w:val="left" w:pos="0"/>
        <w:tab w:val="left" w:pos="689"/>
        <w:tab w:val="left" w:pos="1728"/>
        <w:tab w:val="left" w:pos="2448"/>
        <w:tab w:val="left" w:pos="2822"/>
        <w:tab w:val="left" w:pos="3629"/>
        <w:tab w:val="left" w:pos="4334"/>
        <w:tab w:val="left" w:pos="5040"/>
        <w:tab w:val="left" w:pos="5746"/>
        <w:tab w:val="left" w:pos="6149"/>
      </w:tabs>
      <w:suppressAutoHyphens/>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0189"/>
    <w:rPr>
      <w:color w:val="0000FF"/>
      <w:u w:val="single"/>
    </w:rPr>
  </w:style>
  <w:style w:type="paragraph" w:styleId="BalloonText">
    <w:name w:val="Balloon Text"/>
    <w:basedOn w:val="Normal"/>
    <w:semiHidden/>
    <w:rsid w:val="00302D32"/>
    <w:rPr>
      <w:rFonts w:ascii="Tahoma" w:hAnsi="Tahoma" w:cs="Tahoma"/>
      <w:sz w:val="16"/>
      <w:szCs w:val="16"/>
    </w:rPr>
  </w:style>
  <w:style w:type="character" w:styleId="CommentReference">
    <w:name w:val="annotation reference"/>
    <w:rsid w:val="00C77CB3"/>
    <w:rPr>
      <w:sz w:val="16"/>
      <w:szCs w:val="16"/>
    </w:rPr>
  </w:style>
  <w:style w:type="paragraph" w:styleId="CommentText">
    <w:name w:val="annotation text"/>
    <w:basedOn w:val="Normal"/>
    <w:link w:val="CommentTextChar"/>
    <w:rsid w:val="00C77CB3"/>
    <w:rPr>
      <w:sz w:val="20"/>
      <w:szCs w:val="20"/>
    </w:rPr>
  </w:style>
  <w:style w:type="character" w:customStyle="1" w:styleId="CommentTextChar">
    <w:name w:val="Comment Text Char"/>
    <w:basedOn w:val="DefaultParagraphFont"/>
    <w:link w:val="CommentText"/>
    <w:rsid w:val="00C77CB3"/>
  </w:style>
  <w:style w:type="paragraph" w:styleId="CommentSubject">
    <w:name w:val="annotation subject"/>
    <w:basedOn w:val="CommentText"/>
    <w:next w:val="CommentText"/>
    <w:link w:val="CommentSubjectChar"/>
    <w:rsid w:val="00C77CB3"/>
    <w:rPr>
      <w:b/>
      <w:bCs/>
    </w:rPr>
  </w:style>
  <w:style w:type="character" w:customStyle="1" w:styleId="CommentSubjectChar">
    <w:name w:val="Comment Subject Char"/>
    <w:link w:val="CommentSubject"/>
    <w:rsid w:val="00C77CB3"/>
    <w:rPr>
      <w:b/>
      <w:bCs/>
    </w:rPr>
  </w:style>
  <w:style w:type="character" w:styleId="Strong">
    <w:name w:val="Strong"/>
    <w:uiPriority w:val="22"/>
    <w:qFormat/>
    <w:rsid w:val="0074699E"/>
    <w:rPr>
      <w:rFonts w:ascii="Arial" w:hAnsi="Arial"/>
      <w:b/>
      <w:i/>
      <w:sz w:val="22"/>
      <w:szCs w:val="22"/>
    </w:rPr>
  </w:style>
  <w:style w:type="character" w:customStyle="1" w:styleId="Heading4Char">
    <w:name w:val="Heading 4 Char"/>
    <w:link w:val="Heading4"/>
    <w:rsid w:val="006B4F2C"/>
    <w:rPr>
      <w:b/>
      <w:sz w:val="24"/>
    </w:rPr>
  </w:style>
  <w:style w:type="paragraph" w:styleId="Header">
    <w:name w:val="header"/>
    <w:basedOn w:val="Normal"/>
    <w:link w:val="HeaderChar"/>
    <w:rsid w:val="00AB71E0"/>
    <w:pPr>
      <w:tabs>
        <w:tab w:val="center" w:pos="4680"/>
        <w:tab w:val="right" w:pos="9360"/>
      </w:tabs>
    </w:pPr>
  </w:style>
  <w:style w:type="character" w:customStyle="1" w:styleId="HeaderChar">
    <w:name w:val="Header Char"/>
    <w:basedOn w:val="DefaultParagraphFont"/>
    <w:link w:val="Header"/>
    <w:rsid w:val="00AB71E0"/>
    <w:rPr>
      <w:sz w:val="24"/>
      <w:szCs w:val="24"/>
    </w:rPr>
  </w:style>
  <w:style w:type="paragraph" w:styleId="Footer">
    <w:name w:val="footer"/>
    <w:basedOn w:val="Normal"/>
    <w:link w:val="FooterChar"/>
    <w:rsid w:val="00AB71E0"/>
    <w:pPr>
      <w:tabs>
        <w:tab w:val="center" w:pos="4680"/>
        <w:tab w:val="right" w:pos="9360"/>
      </w:tabs>
    </w:pPr>
  </w:style>
  <w:style w:type="character" w:customStyle="1" w:styleId="FooterChar">
    <w:name w:val="Footer Char"/>
    <w:basedOn w:val="DefaultParagraphFont"/>
    <w:link w:val="Footer"/>
    <w:rsid w:val="00AB71E0"/>
    <w:rPr>
      <w:sz w:val="24"/>
      <w:szCs w:val="24"/>
    </w:rPr>
  </w:style>
  <w:style w:type="character" w:customStyle="1" w:styleId="Heading1Char">
    <w:name w:val="Heading 1 Char"/>
    <w:basedOn w:val="DefaultParagraphFont"/>
    <w:link w:val="Heading1"/>
    <w:rsid w:val="0074699E"/>
    <w:rPr>
      <w:rFonts w:ascii="Arial" w:hAnsi="Arial" w:cs="Arial"/>
      <w:b/>
      <w:sz w:val="28"/>
      <w:szCs w:val="22"/>
    </w:rPr>
  </w:style>
  <w:style w:type="paragraph" w:styleId="Title">
    <w:name w:val="Title"/>
    <w:basedOn w:val="Normal"/>
    <w:next w:val="Normal"/>
    <w:link w:val="TitleChar"/>
    <w:qFormat/>
    <w:rsid w:val="0074699E"/>
    <w:rPr>
      <w:b/>
      <w:sz w:val="32"/>
    </w:rPr>
  </w:style>
  <w:style w:type="character" w:customStyle="1" w:styleId="TitleChar">
    <w:name w:val="Title Char"/>
    <w:basedOn w:val="DefaultParagraphFont"/>
    <w:link w:val="Title"/>
    <w:rsid w:val="0074699E"/>
    <w:rPr>
      <w:rFonts w:ascii="Arial" w:hAnsi="Arial" w:cs="Arial"/>
      <w:b/>
      <w:sz w:val="32"/>
      <w:szCs w:val="22"/>
    </w:rPr>
  </w:style>
  <w:style w:type="paragraph" w:styleId="Revision">
    <w:name w:val="Revision"/>
    <w:hidden/>
    <w:uiPriority w:val="99"/>
    <w:semiHidden/>
    <w:rsid w:val="008C1421"/>
    <w:rPr>
      <w:rFonts w:ascii="Helvetica" w:hAnsi="Helvetica" w:cs="Arial"/>
      <w:sz w:val="22"/>
      <w:szCs w:val="22"/>
    </w:rPr>
  </w:style>
  <w:style w:type="character" w:styleId="FollowedHyperlink">
    <w:name w:val="FollowedHyperlink"/>
    <w:basedOn w:val="DefaultParagraphFont"/>
    <w:semiHidden/>
    <w:unhideWhenUsed/>
    <w:rsid w:val="006A738A"/>
    <w:rPr>
      <w:color w:val="954F72" w:themeColor="followedHyperlink"/>
      <w:u w:val="single"/>
    </w:rPr>
  </w:style>
  <w:style w:type="character" w:customStyle="1" w:styleId="normaltextrun">
    <w:name w:val="normaltextrun"/>
    <w:basedOn w:val="DefaultParagraphFont"/>
    <w:rsid w:val="00BD1A83"/>
  </w:style>
  <w:style w:type="character" w:customStyle="1" w:styleId="eop">
    <w:name w:val="eop"/>
    <w:basedOn w:val="DefaultParagraphFont"/>
    <w:rsid w:val="00BD1A83"/>
  </w:style>
  <w:style w:type="paragraph" w:styleId="ListParagraph">
    <w:name w:val="List Paragraph"/>
    <w:basedOn w:val="Normal"/>
    <w:uiPriority w:val="34"/>
    <w:qFormat/>
    <w:rsid w:val="00BD1A83"/>
    <w:pPr>
      <w:ind w:left="720"/>
      <w:contextualSpacing/>
    </w:pPr>
  </w:style>
  <w:style w:type="character" w:styleId="UnresolvedMention">
    <w:name w:val="Unresolved Mention"/>
    <w:basedOn w:val="DefaultParagraphFont"/>
    <w:uiPriority w:val="99"/>
    <w:semiHidden/>
    <w:unhideWhenUsed/>
    <w:rsid w:val="003E1EF7"/>
    <w:rPr>
      <w:color w:val="605E5C"/>
      <w:shd w:val="clear" w:color="auto" w:fill="E1DFDD"/>
    </w:rPr>
  </w:style>
  <w:style w:type="table" w:styleId="TableGrid">
    <w:name w:val="Table Grid"/>
    <w:basedOn w:val="TableNormal"/>
    <w:rsid w:val="00510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5592">
      <w:bodyDiv w:val="1"/>
      <w:marLeft w:val="0"/>
      <w:marRight w:val="0"/>
      <w:marTop w:val="0"/>
      <w:marBottom w:val="0"/>
      <w:divBdr>
        <w:top w:val="none" w:sz="0" w:space="0" w:color="auto"/>
        <w:left w:val="none" w:sz="0" w:space="0" w:color="auto"/>
        <w:bottom w:val="none" w:sz="0" w:space="0" w:color="auto"/>
        <w:right w:val="none" w:sz="0" w:space="0" w:color="auto"/>
      </w:divBdr>
    </w:div>
    <w:div w:id="100229540">
      <w:bodyDiv w:val="1"/>
      <w:marLeft w:val="0"/>
      <w:marRight w:val="0"/>
      <w:marTop w:val="0"/>
      <w:marBottom w:val="0"/>
      <w:divBdr>
        <w:top w:val="none" w:sz="0" w:space="0" w:color="auto"/>
        <w:left w:val="none" w:sz="0" w:space="0" w:color="auto"/>
        <w:bottom w:val="none" w:sz="0" w:space="0" w:color="auto"/>
        <w:right w:val="none" w:sz="0" w:space="0" w:color="auto"/>
      </w:divBdr>
    </w:div>
    <w:div w:id="149291739">
      <w:bodyDiv w:val="1"/>
      <w:marLeft w:val="0"/>
      <w:marRight w:val="0"/>
      <w:marTop w:val="0"/>
      <w:marBottom w:val="0"/>
      <w:divBdr>
        <w:top w:val="none" w:sz="0" w:space="0" w:color="auto"/>
        <w:left w:val="none" w:sz="0" w:space="0" w:color="auto"/>
        <w:bottom w:val="none" w:sz="0" w:space="0" w:color="auto"/>
        <w:right w:val="none" w:sz="0" w:space="0" w:color="auto"/>
      </w:divBdr>
    </w:div>
    <w:div w:id="164440676">
      <w:bodyDiv w:val="1"/>
      <w:marLeft w:val="0"/>
      <w:marRight w:val="0"/>
      <w:marTop w:val="0"/>
      <w:marBottom w:val="0"/>
      <w:divBdr>
        <w:top w:val="none" w:sz="0" w:space="0" w:color="auto"/>
        <w:left w:val="none" w:sz="0" w:space="0" w:color="auto"/>
        <w:bottom w:val="none" w:sz="0" w:space="0" w:color="auto"/>
        <w:right w:val="none" w:sz="0" w:space="0" w:color="auto"/>
      </w:divBdr>
    </w:div>
    <w:div w:id="337730400">
      <w:bodyDiv w:val="1"/>
      <w:marLeft w:val="0"/>
      <w:marRight w:val="0"/>
      <w:marTop w:val="0"/>
      <w:marBottom w:val="0"/>
      <w:divBdr>
        <w:top w:val="none" w:sz="0" w:space="0" w:color="auto"/>
        <w:left w:val="none" w:sz="0" w:space="0" w:color="auto"/>
        <w:bottom w:val="none" w:sz="0" w:space="0" w:color="auto"/>
        <w:right w:val="none" w:sz="0" w:space="0" w:color="auto"/>
      </w:divBdr>
    </w:div>
    <w:div w:id="395133342">
      <w:bodyDiv w:val="1"/>
      <w:marLeft w:val="0"/>
      <w:marRight w:val="0"/>
      <w:marTop w:val="0"/>
      <w:marBottom w:val="0"/>
      <w:divBdr>
        <w:top w:val="none" w:sz="0" w:space="0" w:color="auto"/>
        <w:left w:val="none" w:sz="0" w:space="0" w:color="auto"/>
        <w:bottom w:val="none" w:sz="0" w:space="0" w:color="auto"/>
        <w:right w:val="none" w:sz="0" w:space="0" w:color="auto"/>
      </w:divBdr>
    </w:div>
    <w:div w:id="551624088">
      <w:bodyDiv w:val="1"/>
      <w:marLeft w:val="0"/>
      <w:marRight w:val="0"/>
      <w:marTop w:val="0"/>
      <w:marBottom w:val="0"/>
      <w:divBdr>
        <w:top w:val="none" w:sz="0" w:space="0" w:color="auto"/>
        <w:left w:val="none" w:sz="0" w:space="0" w:color="auto"/>
        <w:bottom w:val="none" w:sz="0" w:space="0" w:color="auto"/>
        <w:right w:val="none" w:sz="0" w:space="0" w:color="auto"/>
      </w:divBdr>
    </w:div>
    <w:div w:id="652950660">
      <w:bodyDiv w:val="1"/>
      <w:marLeft w:val="0"/>
      <w:marRight w:val="0"/>
      <w:marTop w:val="0"/>
      <w:marBottom w:val="0"/>
      <w:divBdr>
        <w:top w:val="none" w:sz="0" w:space="0" w:color="auto"/>
        <w:left w:val="none" w:sz="0" w:space="0" w:color="auto"/>
        <w:bottom w:val="none" w:sz="0" w:space="0" w:color="auto"/>
        <w:right w:val="none" w:sz="0" w:space="0" w:color="auto"/>
      </w:divBdr>
    </w:div>
    <w:div w:id="837767780">
      <w:bodyDiv w:val="1"/>
      <w:marLeft w:val="0"/>
      <w:marRight w:val="0"/>
      <w:marTop w:val="0"/>
      <w:marBottom w:val="0"/>
      <w:divBdr>
        <w:top w:val="none" w:sz="0" w:space="0" w:color="auto"/>
        <w:left w:val="none" w:sz="0" w:space="0" w:color="auto"/>
        <w:bottom w:val="none" w:sz="0" w:space="0" w:color="auto"/>
        <w:right w:val="none" w:sz="0" w:space="0" w:color="auto"/>
      </w:divBdr>
    </w:div>
    <w:div w:id="883758754">
      <w:bodyDiv w:val="1"/>
      <w:marLeft w:val="0"/>
      <w:marRight w:val="0"/>
      <w:marTop w:val="0"/>
      <w:marBottom w:val="0"/>
      <w:divBdr>
        <w:top w:val="none" w:sz="0" w:space="0" w:color="auto"/>
        <w:left w:val="none" w:sz="0" w:space="0" w:color="auto"/>
        <w:bottom w:val="none" w:sz="0" w:space="0" w:color="auto"/>
        <w:right w:val="none" w:sz="0" w:space="0" w:color="auto"/>
      </w:divBdr>
    </w:div>
    <w:div w:id="944993812">
      <w:bodyDiv w:val="1"/>
      <w:marLeft w:val="0"/>
      <w:marRight w:val="0"/>
      <w:marTop w:val="0"/>
      <w:marBottom w:val="0"/>
      <w:divBdr>
        <w:top w:val="none" w:sz="0" w:space="0" w:color="auto"/>
        <w:left w:val="none" w:sz="0" w:space="0" w:color="auto"/>
        <w:bottom w:val="none" w:sz="0" w:space="0" w:color="auto"/>
        <w:right w:val="none" w:sz="0" w:space="0" w:color="auto"/>
      </w:divBdr>
    </w:div>
    <w:div w:id="1083918707">
      <w:bodyDiv w:val="1"/>
      <w:marLeft w:val="0"/>
      <w:marRight w:val="0"/>
      <w:marTop w:val="0"/>
      <w:marBottom w:val="0"/>
      <w:divBdr>
        <w:top w:val="none" w:sz="0" w:space="0" w:color="auto"/>
        <w:left w:val="none" w:sz="0" w:space="0" w:color="auto"/>
        <w:bottom w:val="none" w:sz="0" w:space="0" w:color="auto"/>
        <w:right w:val="none" w:sz="0" w:space="0" w:color="auto"/>
      </w:divBdr>
    </w:div>
    <w:div w:id="1111558397">
      <w:bodyDiv w:val="1"/>
      <w:marLeft w:val="0"/>
      <w:marRight w:val="0"/>
      <w:marTop w:val="0"/>
      <w:marBottom w:val="0"/>
      <w:divBdr>
        <w:top w:val="none" w:sz="0" w:space="0" w:color="auto"/>
        <w:left w:val="none" w:sz="0" w:space="0" w:color="auto"/>
        <w:bottom w:val="none" w:sz="0" w:space="0" w:color="auto"/>
        <w:right w:val="none" w:sz="0" w:space="0" w:color="auto"/>
      </w:divBdr>
    </w:div>
    <w:div w:id="1200700726">
      <w:bodyDiv w:val="1"/>
      <w:marLeft w:val="0"/>
      <w:marRight w:val="0"/>
      <w:marTop w:val="0"/>
      <w:marBottom w:val="0"/>
      <w:divBdr>
        <w:top w:val="none" w:sz="0" w:space="0" w:color="auto"/>
        <w:left w:val="none" w:sz="0" w:space="0" w:color="auto"/>
        <w:bottom w:val="none" w:sz="0" w:space="0" w:color="auto"/>
        <w:right w:val="none" w:sz="0" w:space="0" w:color="auto"/>
      </w:divBdr>
    </w:div>
    <w:div w:id="1237667729">
      <w:bodyDiv w:val="1"/>
      <w:marLeft w:val="0"/>
      <w:marRight w:val="0"/>
      <w:marTop w:val="0"/>
      <w:marBottom w:val="0"/>
      <w:divBdr>
        <w:top w:val="none" w:sz="0" w:space="0" w:color="auto"/>
        <w:left w:val="none" w:sz="0" w:space="0" w:color="auto"/>
        <w:bottom w:val="none" w:sz="0" w:space="0" w:color="auto"/>
        <w:right w:val="none" w:sz="0" w:space="0" w:color="auto"/>
      </w:divBdr>
    </w:div>
    <w:div w:id="1313293232">
      <w:bodyDiv w:val="1"/>
      <w:marLeft w:val="0"/>
      <w:marRight w:val="0"/>
      <w:marTop w:val="0"/>
      <w:marBottom w:val="0"/>
      <w:divBdr>
        <w:top w:val="none" w:sz="0" w:space="0" w:color="auto"/>
        <w:left w:val="none" w:sz="0" w:space="0" w:color="auto"/>
        <w:bottom w:val="none" w:sz="0" w:space="0" w:color="auto"/>
        <w:right w:val="none" w:sz="0" w:space="0" w:color="auto"/>
      </w:divBdr>
    </w:div>
    <w:div w:id="1328939785">
      <w:bodyDiv w:val="1"/>
      <w:marLeft w:val="0"/>
      <w:marRight w:val="0"/>
      <w:marTop w:val="0"/>
      <w:marBottom w:val="0"/>
      <w:divBdr>
        <w:top w:val="none" w:sz="0" w:space="0" w:color="auto"/>
        <w:left w:val="none" w:sz="0" w:space="0" w:color="auto"/>
        <w:bottom w:val="none" w:sz="0" w:space="0" w:color="auto"/>
        <w:right w:val="none" w:sz="0" w:space="0" w:color="auto"/>
      </w:divBdr>
    </w:div>
    <w:div w:id="1460879260">
      <w:bodyDiv w:val="1"/>
      <w:marLeft w:val="0"/>
      <w:marRight w:val="0"/>
      <w:marTop w:val="0"/>
      <w:marBottom w:val="0"/>
      <w:divBdr>
        <w:top w:val="none" w:sz="0" w:space="0" w:color="auto"/>
        <w:left w:val="none" w:sz="0" w:space="0" w:color="auto"/>
        <w:bottom w:val="none" w:sz="0" w:space="0" w:color="auto"/>
        <w:right w:val="none" w:sz="0" w:space="0" w:color="auto"/>
      </w:divBdr>
    </w:div>
    <w:div w:id="1473282019">
      <w:bodyDiv w:val="1"/>
      <w:marLeft w:val="0"/>
      <w:marRight w:val="0"/>
      <w:marTop w:val="0"/>
      <w:marBottom w:val="0"/>
      <w:divBdr>
        <w:top w:val="none" w:sz="0" w:space="0" w:color="auto"/>
        <w:left w:val="none" w:sz="0" w:space="0" w:color="auto"/>
        <w:bottom w:val="none" w:sz="0" w:space="0" w:color="auto"/>
        <w:right w:val="none" w:sz="0" w:space="0" w:color="auto"/>
      </w:divBdr>
    </w:div>
    <w:div w:id="1574270076">
      <w:bodyDiv w:val="1"/>
      <w:marLeft w:val="0"/>
      <w:marRight w:val="0"/>
      <w:marTop w:val="0"/>
      <w:marBottom w:val="0"/>
      <w:divBdr>
        <w:top w:val="none" w:sz="0" w:space="0" w:color="auto"/>
        <w:left w:val="none" w:sz="0" w:space="0" w:color="auto"/>
        <w:bottom w:val="none" w:sz="0" w:space="0" w:color="auto"/>
        <w:right w:val="none" w:sz="0" w:space="0" w:color="auto"/>
      </w:divBdr>
    </w:div>
    <w:div w:id="1594361867">
      <w:bodyDiv w:val="1"/>
      <w:marLeft w:val="0"/>
      <w:marRight w:val="0"/>
      <w:marTop w:val="0"/>
      <w:marBottom w:val="0"/>
      <w:divBdr>
        <w:top w:val="none" w:sz="0" w:space="0" w:color="auto"/>
        <w:left w:val="none" w:sz="0" w:space="0" w:color="auto"/>
        <w:bottom w:val="none" w:sz="0" w:space="0" w:color="auto"/>
        <w:right w:val="none" w:sz="0" w:space="0" w:color="auto"/>
      </w:divBdr>
    </w:div>
    <w:div w:id="1600406419">
      <w:bodyDiv w:val="1"/>
      <w:marLeft w:val="0"/>
      <w:marRight w:val="0"/>
      <w:marTop w:val="0"/>
      <w:marBottom w:val="0"/>
      <w:divBdr>
        <w:top w:val="none" w:sz="0" w:space="0" w:color="auto"/>
        <w:left w:val="none" w:sz="0" w:space="0" w:color="auto"/>
        <w:bottom w:val="none" w:sz="0" w:space="0" w:color="auto"/>
        <w:right w:val="none" w:sz="0" w:space="0" w:color="auto"/>
      </w:divBdr>
    </w:div>
    <w:div w:id="1642419120">
      <w:bodyDiv w:val="1"/>
      <w:marLeft w:val="0"/>
      <w:marRight w:val="0"/>
      <w:marTop w:val="0"/>
      <w:marBottom w:val="0"/>
      <w:divBdr>
        <w:top w:val="none" w:sz="0" w:space="0" w:color="auto"/>
        <w:left w:val="none" w:sz="0" w:space="0" w:color="auto"/>
        <w:bottom w:val="none" w:sz="0" w:space="0" w:color="auto"/>
        <w:right w:val="none" w:sz="0" w:space="0" w:color="auto"/>
      </w:divBdr>
    </w:div>
    <w:div w:id="1720275528">
      <w:bodyDiv w:val="1"/>
      <w:marLeft w:val="0"/>
      <w:marRight w:val="0"/>
      <w:marTop w:val="0"/>
      <w:marBottom w:val="0"/>
      <w:divBdr>
        <w:top w:val="none" w:sz="0" w:space="0" w:color="auto"/>
        <w:left w:val="none" w:sz="0" w:space="0" w:color="auto"/>
        <w:bottom w:val="none" w:sz="0" w:space="0" w:color="auto"/>
        <w:right w:val="none" w:sz="0" w:space="0" w:color="auto"/>
      </w:divBdr>
    </w:div>
    <w:div w:id="1738435831">
      <w:bodyDiv w:val="1"/>
      <w:marLeft w:val="0"/>
      <w:marRight w:val="0"/>
      <w:marTop w:val="0"/>
      <w:marBottom w:val="0"/>
      <w:divBdr>
        <w:top w:val="none" w:sz="0" w:space="0" w:color="auto"/>
        <w:left w:val="none" w:sz="0" w:space="0" w:color="auto"/>
        <w:bottom w:val="none" w:sz="0" w:space="0" w:color="auto"/>
        <w:right w:val="none" w:sz="0" w:space="0" w:color="auto"/>
      </w:divBdr>
    </w:div>
    <w:div w:id="208826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e.mayo.edu/content/disclosure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Enduring Materials Application – Medical Grand Rounds #1886</vt:lpstr>
    </vt:vector>
  </TitlesOfParts>
  <Company>Mayo Foundation</Company>
  <LinksUpToDate>false</LinksUpToDate>
  <CharactersWithSpaces>6429</CharactersWithSpaces>
  <SharedDoc>false</SharedDoc>
  <HLinks>
    <vt:vector size="6" baseType="variant">
      <vt:variant>
        <vt:i4>2752629</vt:i4>
      </vt:variant>
      <vt:variant>
        <vt:i4>0</vt:i4>
      </vt:variant>
      <vt:variant>
        <vt:i4>0</vt:i4>
      </vt:variant>
      <vt:variant>
        <vt:i4>5</vt:i4>
      </vt:variant>
      <vt:variant>
        <vt:lpwstr>https://ce.mayo.edu/content/disclosures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Enduring Materials Application – Medical Grand Rounds #1886</dc:title>
  <dc:creator>Allen, Jennifer A., M.Ed. [RO CME]</dc:creator>
  <cp:lastModifiedBy>Allen, Jennifer A., M.Ed. [RO CME]</cp:lastModifiedBy>
  <cp:revision>2</cp:revision>
  <cp:lastPrinted>2009-02-24T21:52:00Z</cp:lastPrinted>
  <dcterms:created xsi:type="dcterms:W3CDTF">2022-04-08T13:35:00Z</dcterms:created>
  <dcterms:modified xsi:type="dcterms:W3CDTF">2022-04-08T13:35:00Z</dcterms:modified>
</cp:coreProperties>
</file>